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E3" w:rsidRPr="00ED6BE3" w:rsidRDefault="00ED6BE3" w:rsidP="00ED6BE3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bookmarkStart w:id="0" w:name="_GoBack"/>
      <w:r w:rsidRPr="00ED6BE3">
        <w:rPr>
          <w:rFonts w:ascii="Times New Roman" w:hAnsi="Times New Roman"/>
          <w:b/>
          <w:iCs/>
          <w:color w:val="000000"/>
          <w:u w:val="single"/>
          <w:lang w:val="en-US"/>
        </w:rPr>
        <w:t xml:space="preserve">S14 Table. Detailed results of inferential analyzes of </w:t>
      </w:r>
      <w:r w:rsidRPr="00ED6BE3">
        <w:rPr>
          <w:rFonts w:ascii="Times New Roman" w:hAnsi="Times New Roman"/>
          <w:b/>
          <w:color w:val="000000"/>
          <w:u w:val="single"/>
          <w:lang w:val="en-US"/>
        </w:rPr>
        <w:t>M</w:t>
      </w:r>
      <w:r w:rsidRPr="00ED6BE3">
        <w:rPr>
          <w:rFonts w:ascii="Times New Roman" w:hAnsi="Times New Roman"/>
          <w:b/>
          <w:color w:val="000000"/>
          <w:u w:val="single"/>
          <w:vertAlign w:val="subscript"/>
          <w:lang w:val="en-US"/>
        </w:rPr>
        <w:t>2</w:t>
      </w:r>
      <w:r w:rsidRPr="00ED6BE3">
        <w:rPr>
          <w:rFonts w:ascii="Times New Roman" w:hAnsi="Times New Roman"/>
          <w:b/>
          <w:color w:val="000000"/>
          <w:u w:val="single"/>
          <w:lang w:val="en-US"/>
        </w:rPr>
        <w:t xml:space="preserve"> </w:t>
      </w:r>
      <w:r w:rsidRPr="00ED6BE3">
        <w:rPr>
          <w:rFonts w:ascii="Times New Roman" w:hAnsi="Times New Roman"/>
          <w:b/>
          <w:iCs/>
          <w:color w:val="000000"/>
          <w:u w:val="single"/>
          <w:lang w:val="en-US"/>
        </w:rPr>
        <w:t xml:space="preserve">receptors expression for the adult population, including the </w:t>
      </w:r>
      <w:proofErr w:type="spellStart"/>
      <w:r w:rsidRPr="00ED6BE3">
        <w:rPr>
          <w:rFonts w:ascii="Times New Roman" w:hAnsi="Times New Roman"/>
          <w:b/>
          <w:iCs/>
          <w:color w:val="000000"/>
          <w:u w:val="single"/>
          <w:lang w:val="en-US"/>
        </w:rPr>
        <w:t>HolterTest</w:t>
      </w:r>
      <w:proofErr w:type="spellEnd"/>
    </w:p>
    <w:bookmarkEnd w:id="0"/>
    <w:p w:rsidR="00280F07" w:rsidRPr="00ED6BE3" w:rsidRDefault="00280F07">
      <w:pPr>
        <w:rPr>
          <w:lang w:val="en-US"/>
        </w:rPr>
      </w:pPr>
    </w:p>
    <w:tbl>
      <w:tblPr>
        <w:tblW w:w="964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4A0" w:firstRow="1" w:lastRow="0" w:firstColumn="1" w:lastColumn="0" w:noHBand="0" w:noVBand="1"/>
      </w:tblPr>
      <w:tblGrid>
        <w:gridCol w:w="1799"/>
        <w:gridCol w:w="974"/>
        <w:gridCol w:w="1126"/>
        <w:gridCol w:w="1179"/>
        <w:gridCol w:w="1165"/>
        <w:gridCol w:w="1165"/>
        <w:gridCol w:w="1166"/>
        <w:gridCol w:w="1075"/>
      </w:tblGrid>
      <w:tr w:rsidR="00ED6BE3" w:rsidRPr="00F275AB" w:rsidTr="00E57934">
        <w:tc>
          <w:tcPr>
            <w:tcW w:w="1799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974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mean</w:t>
            </w:r>
          </w:p>
        </w:tc>
        <w:tc>
          <w:tcPr>
            <w:tcW w:w="1126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sd</w:t>
            </w:r>
            <w:proofErr w:type="spellEnd"/>
          </w:p>
        </w:tc>
        <w:tc>
          <w:tcPr>
            <w:tcW w:w="1179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2.5%</w:t>
            </w:r>
          </w:p>
        </w:tc>
        <w:tc>
          <w:tcPr>
            <w:tcW w:w="1165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25%</w:t>
            </w:r>
          </w:p>
        </w:tc>
        <w:tc>
          <w:tcPr>
            <w:tcW w:w="1165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50%</w:t>
            </w:r>
          </w:p>
        </w:tc>
        <w:tc>
          <w:tcPr>
            <w:tcW w:w="1166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75%</w:t>
            </w:r>
          </w:p>
        </w:tc>
        <w:tc>
          <w:tcPr>
            <w:tcW w:w="1075" w:type="dxa"/>
            <w:shd w:val="clear" w:color="auto" w:fill="A5A5A5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97.5%</w:t>
            </w:r>
          </w:p>
        </w:tc>
      </w:tr>
      <w:tr w:rsidR="00ED6BE3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0.52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0.26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0.35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0.53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0.70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1.03</w:t>
            </w:r>
          </w:p>
        </w:tc>
      </w:tr>
      <w:tr w:rsidR="00ED6BE3" w:rsidRPr="00F275AB" w:rsidTr="00E57934">
        <w:tc>
          <w:tcPr>
            <w:tcW w:w="1799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RR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1.75</w:t>
            </w:r>
          </w:p>
        </w:tc>
        <w:tc>
          <w:tcPr>
            <w:tcW w:w="1126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0.46</w:t>
            </w:r>
          </w:p>
        </w:tc>
        <w:tc>
          <w:tcPr>
            <w:tcW w:w="1179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1.42</w:t>
            </w:r>
          </w:p>
        </w:tc>
        <w:tc>
          <w:tcPr>
            <w:tcW w:w="1165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1.69</w:t>
            </w:r>
          </w:p>
        </w:tc>
        <w:tc>
          <w:tcPr>
            <w:tcW w:w="1166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2.02</w:t>
            </w:r>
          </w:p>
        </w:tc>
        <w:tc>
          <w:tcPr>
            <w:tcW w:w="1075" w:type="dxa"/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2.81</w:t>
            </w:r>
          </w:p>
        </w:tc>
      </w:tr>
      <w:tr w:rsidR="00ED6BE3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Prob</w:t>
            </w:r>
            <w:proofErr w:type="spellEnd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0.97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0.16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ED6BE3" w:rsidRPr="00F275AB" w:rsidRDefault="00ED6BE3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</w:tr>
    </w:tbl>
    <w:p w:rsidR="00ED6BE3" w:rsidRPr="00F275AB" w:rsidRDefault="00ED6BE3" w:rsidP="00ED6BE3">
      <w:pPr>
        <w:jc w:val="center"/>
        <w:rPr>
          <w:rFonts w:ascii="Times New Roman" w:hAnsi="Times New Roman"/>
          <w:i/>
          <w:iCs/>
          <w:color w:val="000000"/>
          <w:u w:val="single"/>
          <w:lang w:val="en-US"/>
        </w:rPr>
      </w:pPr>
    </w:p>
    <w:p w:rsidR="00ED6BE3" w:rsidRPr="00F275AB" w:rsidRDefault="00ED6BE3" w:rsidP="00ED6BE3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variables; pat=patients,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=controls modality (reference for the estimation) </w:t>
      </w:r>
    </w:p>
    <w:p w:rsidR="00ED6BE3" w:rsidRPr="00F275AB" w:rsidRDefault="00ED6BE3" w:rsidP="00ED6BE3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RR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relative risk associated with the variable pat (patient)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ED6BE3" w:rsidRPr="00F275AB" w:rsidRDefault="00ED6BE3" w:rsidP="00ED6BE3">
      <w:pPr>
        <w:rPr>
          <w:rFonts w:ascii="Times New Roman" w:hAnsi="Times New Roman"/>
          <w:i/>
          <w:iCs/>
          <w:color w:val="000000"/>
          <w:lang w:val="en-US"/>
        </w:rPr>
      </w:pP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Prob</w:t>
      </w:r>
      <w:proofErr w:type="spellEnd"/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probability that the relative risk RR is higher in pat (patients)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</w:p>
    <w:p w:rsidR="00ED6BE3" w:rsidRPr="00F275AB" w:rsidRDefault="00ED6BE3" w:rsidP="00ED6BE3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i/>
          <w:iCs/>
          <w:color w:val="000000"/>
          <w:lang w:val="en-US"/>
        </w:rPr>
        <w:t>Summary of the posterior distribution (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McMC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>) of each parameter: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Mean: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mean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Sd: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standard deviation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2.5th percentile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25th percentile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50%: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50th percentile or median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75%: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75th percentile of the distribution</w:t>
      </w:r>
    </w:p>
    <w:p w:rsidR="00ED6BE3" w:rsidRPr="00F275AB" w:rsidRDefault="00ED6BE3" w:rsidP="00ED6BE3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97.5%: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97.5th percentile of the distribution</w:t>
      </w:r>
    </w:p>
    <w:p w:rsidR="00ED6BE3" w:rsidRPr="00ED6BE3" w:rsidRDefault="00ED6BE3">
      <w:pPr>
        <w:rPr>
          <w:lang w:val="en-US"/>
        </w:rPr>
      </w:pPr>
    </w:p>
    <w:sectPr w:rsidR="00ED6BE3" w:rsidRPr="00ED6BE3" w:rsidSect="00EE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E3"/>
    <w:rsid w:val="00280F07"/>
    <w:rsid w:val="00491DB1"/>
    <w:rsid w:val="00D42264"/>
    <w:rsid w:val="00EC65AF"/>
    <w:rsid w:val="00ED6BE3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F4E64"/>
  <w14:defaultImageDpi w14:val="32767"/>
  <w15:chartTrackingRefBased/>
  <w15:docId w15:val="{F459AEEF-8030-584D-9F0D-7E3B75D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6B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Beutelstetter</dc:creator>
  <cp:keywords/>
  <dc:description/>
  <cp:lastModifiedBy>Maxime Beutelstetter</cp:lastModifiedBy>
  <cp:revision>1</cp:revision>
  <dcterms:created xsi:type="dcterms:W3CDTF">2019-07-08T10:26:00Z</dcterms:created>
  <dcterms:modified xsi:type="dcterms:W3CDTF">2019-07-08T10:27:00Z</dcterms:modified>
</cp:coreProperties>
</file>