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1A" w:rsidRPr="00BF6F84" w:rsidRDefault="0056251A" w:rsidP="0056251A">
      <w:pPr>
        <w:rPr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 xml:space="preserve">S2 Table. </w:t>
      </w:r>
      <w:r w:rsidRPr="00165674">
        <w:rPr>
          <w:rFonts w:ascii="Times New Roman" w:hAnsi="Times New Roman" w:cs="Times New Roman"/>
          <w:b/>
          <w:color w:val="FF0000"/>
          <w:lang w:val="en-US"/>
        </w:rPr>
        <w:t xml:space="preserve">Sex-stratified analysis (using </w:t>
      </w:r>
      <w:r>
        <w:rPr>
          <w:rFonts w:ascii="Times New Roman" w:hAnsi="Times New Roman" w:cs="Times New Roman"/>
          <w:b/>
          <w:color w:val="FF0000"/>
          <w:lang w:val="en-US"/>
        </w:rPr>
        <w:t>a</w:t>
      </w:r>
      <w:r w:rsidRPr="00165674">
        <w:rPr>
          <w:rFonts w:ascii="Times New Roman" w:hAnsi="Times New Roman" w:cs="Times New Roman"/>
          <w:b/>
          <w:color w:val="FF0000"/>
          <w:lang w:val="en-US"/>
        </w:rPr>
        <w:t xml:space="preserve">rea of residence as </w:t>
      </w:r>
      <w:r>
        <w:rPr>
          <w:rFonts w:ascii="Times New Roman" w:hAnsi="Times New Roman" w:cs="Times New Roman"/>
          <w:b/>
          <w:color w:val="FF0000"/>
          <w:lang w:val="en-US"/>
        </w:rPr>
        <w:t>an adjustment covariate)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134"/>
        <w:gridCol w:w="1843"/>
        <w:gridCol w:w="1134"/>
        <w:gridCol w:w="1843"/>
        <w:gridCol w:w="1134"/>
      </w:tblGrid>
      <w:tr w:rsidR="0056251A" w:rsidRPr="00AF7E5F" w:rsidTr="008F2D0B">
        <w:tc>
          <w:tcPr>
            <w:tcW w:w="3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Baseline variables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Overall (n= 996)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Male (n= 430)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Female (n= 566)</w:t>
            </w:r>
          </w:p>
        </w:tc>
      </w:tr>
      <w:tr w:rsidR="0056251A" w:rsidRPr="00AF7E5F" w:rsidTr="008F2D0B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OR (CI 95%)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OR (CI 95%)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OR (CI 95%)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56251A" w:rsidRPr="005B4E14" w:rsidTr="008F2D0B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 xml:space="preserve">Neighborhood physical environment (total length of space per 100 meters) </w:t>
            </w:r>
            <w:r w:rsidRPr="00AF7E5F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251A" w:rsidRPr="00AF7E5F" w:rsidTr="008F2D0B">
        <w:tc>
          <w:tcPr>
            <w:tcW w:w="12895" w:type="dxa"/>
            <w:gridSpan w:val="7"/>
            <w:tcBorders>
              <w:top w:val="single" w:sz="4" w:space="0" w:color="auto"/>
            </w:tcBorders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1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For pedestrian traffic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0.51</w:t>
            </w:r>
          </w:p>
        </w:tc>
      </w:tr>
      <w:tr w:rsidR="0056251A" w:rsidRPr="00AF7E5F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2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Sidewalks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</w:t>
            </w:r>
          </w:p>
        </w:tc>
      </w:tr>
      <w:tr w:rsidR="0056251A" w:rsidRPr="00AF7E5F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3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Free access to people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0.34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0.61</w:t>
            </w:r>
          </w:p>
        </w:tc>
      </w:tr>
      <w:tr w:rsidR="0056251A" w:rsidRPr="00AF7E5F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4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Restricted to vehicles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0.99 (0.98-1.00)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(0.98-1.02)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0.81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0.99 (0.97-1.00)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0.07</w:t>
            </w:r>
          </w:p>
        </w:tc>
      </w:tr>
      <w:tr w:rsidR="0056251A" w:rsidRPr="00AF7E5F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5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With public lighting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0.86</w:t>
            </w:r>
          </w:p>
        </w:tc>
      </w:tr>
      <w:tr w:rsidR="0056251A" w:rsidRPr="00AF7E5F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6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Covered with concrete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(0.99-1.01)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0.67</w:t>
            </w:r>
          </w:p>
        </w:tc>
      </w:tr>
      <w:tr w:rsidR="0056251A" w:rsidRPr="00AF7E5F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Model 7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With trees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0.85</w:t>
            </w:r>
          </w:p>
        </w:tc>
      </w:tr>
      <w:tr w:rsidR="0056251A" w:rsidRPr="00AF7E5F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8</w:t>
            </w:r>
          </w:p>
        </w:tc>
      </w:tr>
      <w:tr w:rsidR="0056251A" w:rsidRPr="00AF7E5F" w:rsidTr="008F2D0B">
        <w:tc>
          <w:tcPr>
            <w:tcW w:w="3964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Without peddlers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1.00 (0.99-1.00)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</w:t>
            </w:r>
          </w:p>
        </w:tc>
      </w:tr>
      <w:tr w:rsidR="0056251A" w:rsidRPr="00AF7E5F" w:rsidTr="008F2D0B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 xml:space="preserve">Neighborhood social environment </w:t>
            </w:r>
            <w:r w:rsidRPr="00AF7E5F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251A" w:rsidRPr="00AF7E5F" w:rsidTr="008F2D0B">
        <w:tc>
          <w:tcPr>
            <w:tcW w:w="12895" w:type="dxa"/>
            <w:gridSpan w:val="7"/>
            <w:tcBorders>
              <w:top w:val="single" w:sz="4" w:space="0" w:color="auto"/>
            </w:tcBorders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9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Social capital</w:t>
            </w:r>
            <w:r w:rsidRPr="00AF7E5F">
              <w:rPr>
                <w:rFonts w:ascii="Times New Roman" w:hAnsi="Times New Roman" w:cs="Times New Roman"/>
                <w:lang w:val="en-US"/>
              </w:rPr>
              <w:t xml:space="preserve"> (score)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Low (0)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</w:tr>
      <w:tr w:rsidR="0056251A" w:rsidRPr="00594924" w:rsidTr="008F2D0B">
        <w:tc>
          <w:tcPr>
            <w:tcW w:w="3964" w:type="dxa"/>
          </w:tcPr>
          <w:p w:rsidR="0056251A" w:rsidRPr="00AF7E5F" w:rsidRDefault="0056251A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Medium (1)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0.97 (0.50-1.89)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1.59 (0.37-6.92)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0.53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0.81 (0.41-1.61)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0.55</w:t>
            </w:r>
          </w:p>
        </w:tc>
      </w:tr>
      <w:tr w:rsidR="0056251A" w:rsidRPr="00594924" w:rsidTr="008F2D0B">
        <w:tc>
          <w:tcPr>
            <w:tcW w:w="3964" w:type="dxa"/>
          </w:tcPr>
          <w:p w:rsidR="0056251A" w:rsidRPr="00AF7E5F" w:rsidRDefault="0056251A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High (2-4)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0.94 (0.39-2.28)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0.90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1.41 (0.15-13.15)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0.76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0.88 (0.32-2.44)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0.81</w:t>
            </w:r>
          </w:p>
        </w:tc>
      </w:tr>
      <w:tr w:rsidR="0056251A" w:rsidRPr="00594924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10</w:t>
            </w:r>
          </w:p>
        </w:tc>
      </w:tr>
      <w:tr w:rsidR="0056251A" w:rsidRPr="00594924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Trust and solidarity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251A" w:rsidRPr="00594924" w:rsidTr="008F2D0B">
        <w:tc>
          <w:tcPr>
            <w:tcW w:w="3964" w:type="dxa"/>
          </w:tcPr>
          <w:p w:rsidR="0056251A" w:rsidRPr="00AF7E5F" w:rsidRDefault="0056251A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No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Yes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0.84 (0.56-1.27)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0.41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1.38 (0.41-4.61)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0.76 (0.47-1.24)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0.27</w:t>
            </w:r>
          </w:p>
        </w:tc>
      </w:tr>
      <w:tr w:rsidR="0056251A" w:rsidRPr="00AF7E5F" w:rsidTr="008F2D0B">
        <w:tc>
          <w:tcPr>
            <w:tcW w:w="12895" w:type="dxa"/>
            <w:gridSpan w:val="7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b/>
                <w:lang w:val="en-US"/>
              </w:rPr>
              <w:t>Model 11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Safety (score)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lastRenderedPageBreak/>
              <w:t>High (2-4)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  <w:tc>
          <w:tcPr>
            <w:tcW w:w="2977" w:type="dxa"/>
            <w:gridSpan w:val="2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Ref.</w:t>
            </w:r>
          </w:p>
        </w:tc>
      </w:tr>
      <w:tr w:rsidR="0056251A" w:rsidRPr="00AF7E5F" w:rsidTr="008F2D0B">
        <w:tc>
          <w:tcPr>
            <w:tcW w:w="3964" w:type="dxa"/>
          </w:tcPr>
          <w:p w:rsidR="0056251A" w:rsidRPr="00AF7E5F" w:rsidRDefault="0056251A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Medium (1)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1.48 (0.96-2.30)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1.36 (0.36-5.15)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</w:t>
            </w:r>
          </w:p>
        </w:tc>
        <w:tc>
          <w:tcPr>
            <w:tcW w:w="1843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1.47 (0.83-2.60)</w:t>
            </w:r>
          </w:p>
        </w:tc>
        <w:tc>
          <w:tcPr>
            <w:tcW w:w="1134" w:type="dxa"/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0.19</w:t>
            </w:r>
          </w:p>
        </w:tc>
      </w:tr>
      <w:tr w:rsidR="0056251A" w:rsidRPr="00AF7E5F" w:rsidTr="008F2D0B">
        <w:tc>
          <w:tcPr>
            <w:tcW w:w="3964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AF7E5F">
              <w:rPr>
                <w:rFonts w:ascii="Times New Roman" w:hAnsi="Times New Roman" w:cs="Times New Roman"/>
                <w:i/>
                <w:lang w:val="en-US"/>
              </w:rPr>
              <w:t>Low (0)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1.69 (0.63-4.46)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E5F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3.25 (0.17-61.06)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1.34 (0.58-3.07)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51A" w:rsidRPr="00AF7E5F" w:rsidRDefault="0056251A" w:rsidP="008F2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0.50</w:t>
            </w:r>
          </w:p>
        </w:tc>
      </w:tr>
    </w:tbl>
    <w:p w:rsidR="0056251A" w:rsidRPr="00AF7E5F" w:rsidRDefault="0056251A" w:rsidP="005625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F7E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 xml:space="preserve"> Models with state as the second aggregation level and adjusted for age, income index</w:t>
      </w:r>
      <w:r>
        <w:rPr>
          <w:rFonts w:ascii="Times New Roman" w:hAnsi="Times New Roman" w:cs="Times New Roman"/>
          <w:sz w:val="18"/>
          <w:szCs w:val="18"/>
          <w:lang w:val="en-US"/>
        </w:rPr>
        <w:t>, area of residence,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 xml:space="preserve"> functional limitations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margination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index of the municipality.</w:t>
      </w:r>
    </w:p>
    <w:p w:rsidR="0056251A" w:rsidRDefault="0056251A" w:rsidP="00562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AF7E5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proofErr w:type="gramEnd"/>
      <w:r w:rsidRPr="00AF7E5F">
        <w:rPr>
          <w:rFonts w:ascii="Times New Roman" w:hAnsi="Times New Roman" w:cs="Times New Roman"/>
          <w:sz w:val="18"/>
          <w:szCs w:val="18"/>
          <w:lang w:val="en-US"/>
        </w:rPr>
        <w:t xml:space="preserve"> Models with state as the second aggregation level and adjusted for age group, marital status, education level, income quintile, work status, area of residence, social networks, </w:t>
      </w:r>
      <w:proofErr w:type="spellStart"/>
      <w:r w:rsidRPr="00AF7E5F">
        <w:rPr>
          <w:rFonts w:ascii="Times New Roman" w:hAnsi="Times New Roman" w:cs="Times New Roman"/>
          <w:sz w:val="18"/>
          <w:szCs w:val="18"/>
          <w:lang w:val="en-US"/>
        </w:rPr>
        <w:t>multimorbidity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 xml:space="preserve"> functional limitations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margination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index of the municipality</w:t>
      </w:r>
      <w:r w:rsidRPr="00AF7E5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D6346A" w:rsidRPr="0056251A" w:rsidRDefault="00D6346A" w:rsidP="0056251A">
      <w:bookmarkStart w:id="0" w:name="_GoBack"/>
      <w:bookmarkEnd w:id="0"/>
    </w:p>
    <w:sectPr w:rsidR="00D6346A" w:rsidRPr="0056251A" w:rsidSect="005625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82"/>
    <w:rsid w:val="002A501E"/>
    <w:rsid w:val="00400750"/>
    <w:rsid w:val="00430B42"/>
    <w:rsid w:val="0056251A"/>
    <w:rsid w:val="00824C83"/>
    <w:rsid w:val="00901A82"/>
    <w:rsid w:val="00A6208C"/>
    <w:rsid w:val="00BB0699"/>
    <w:rsid w:val="00C10E37"/>
    <w:rsid w:val="00D62242"/>
    <w:rsid w:val="00D6346A"/>
    <w:rsid w:val="00F00AAA"/>
    <w:rsid w:val="00FA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2922-3FE7-440E-B8B3-D2D73A0D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0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2019-06-30T05:43:00Z</dcterms:created>
  <dcterms:modified xsi:type="dcterms:W3CDTF">2019-06-30T05:43:00Z</dcterms:modified>
</cp:coreProperties>
</file>