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86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784"/>
        <w:gridCol w:w="1261"/>
        <w:gridCol w:w="1532"/>
        <w:gridCol w:w="1516"/>
        <w:gridCol w:w="1521"/>
      </w:tblGrid>
      <w:tr>
        <w:tblPrEx>
          <w:shd w:val="clear" w:color="auto" w:fill="cadfff"/>
        </w:tblPrEx>
        <w:trPr>
          <w:trHeight w:val="651" w:hRule="atLeast"/>
        </w:trPr>
        <w:tc>
          <w:tcPr>
            <w:tcW w:type="dxa" w:w="8614"/>
            <w:gridSpan w:val="5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 xml:space="preserve">Table </w:t>
            </w: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sv-SE"/>
              </w:rPr>
              <w:t>S8</w:t>
            </w: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>. Reevaluating Joffe</w:t>
            </w: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sv-SE"/>
              </w:rPr>
              <w:t xml:space="preserve"> </w:t>
            </w: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sv-SE"/>
              </w:rPr>
              <w:t>[40]</w:t>
            </w: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 xml:space="preserve"> results of a significant relationships between juvenile period1 and the ratio of non-visual cortex to the rest of the brain</w:t>
            </w:r>
            <w:r>
              <w:rPr>
                <w:rFonts w:ascii="Cambria" w:cs="Cambria" w:hAnsi="Cambria" w:eastAsia="Cambria"/>
                <w:sz w:val="16"/>
                <w:szCs w:val="16"/>
                <w:u w:color="000000"/>
                <w:vertAlign w:val="superscript"/>
                <w:rtl w:val="0"/>
                <w:lang w:val="en-US"/>
              </w:rPr>
              <w:t>2</w:t>
            </w: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 xml:space="preserve">. These relations turn non-significant when using pooled brain data </w:t>
            </w: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sv-SE"/>
              </w:rPr>
              <w:t>[</w:t>
            </w: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sv-SE"/>
              </w:rPr>
              <w:t>3, 5</w:t>
            </w: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sv-SE"/>
              </w:rPr>
              <w:t>]</w:t>
            </w: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 xml:space="preserve"> and pooling juvenile period and weight data </w:t>
            </w: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sv-SE"/>
              </w:rPr>
              <w:t>[</w:t>
            </w: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sv-SE"/>
              </w:rPr>
              <w:t>3</w:t>
            </w: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sv-SE"/>
              </w:rPr>
              <w:t>5</w:t>
            </w: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sv-SE"/>
              </w:rPr>
              <w:t>, 6</w:t>
            </w: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sv-SE"/>
              </w:rPr>
              <w:t>7]</w:t>
            </w: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sv-SE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73" w:hRule="atLeast"/>
        </w:trPr>
        <w:tc>
          <w:tcPr>
            <w:tcW w:type="dxa" w:w="8614"/>
            <w:gridSpan w:val="5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Juvenile period</w:t>
            </w: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vertAlign w:val="superscript"/>
                <w:rtl w:val="0"/>
                <w:lang w:val="en-US"/>
              </w:rPr>
              <w:t>1</w:t>
            </w: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 xml:space="preserve"> ~ Non visual neocortex ratio </w:t>
            </w:r>
          </w:p>
        </w:tc>
      </w:tr>
      <w:tr>
        <w:tblPrEx>
          <w:shd w:val="clear" w:color="auto" w:fill="cadfff"/>
        </w:tblPrEx>
        <w:trPr>
          <w:trHeight w:val="490" w:hRule="atLeast"/>
        </w:trPr>
        <w:tc>
          <w:tcPr>
            <w:tcW w:type="dxa" w:w="2784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1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b</w:t>
            </w:r>
          </w:p>
        </w:tc>
        <w:tc>
          <w:tcPr>
            <w:tcW w:type="dxa" w:w="1532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se</w:t>
            </w:r>
          </w:p>
        </w:tc>
        <w:tc>
          <w:tcPr>
            <w:tcW w:type="dxa" w:w="1516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t</w:t>
            </w:r>
          </w:p>
        </w:tc>
        <w:tc>
          <w:tcPr>
            <w:tcW w:type="dxa" w:w="1520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cadfff"/>
        </w:tblPrEx>
        <w:trPr>
          <w:trHeight w:val="373" w:hRule="atLeast"/>
        </w:trPr>
        <w:tc>
          <w:tcPr>
            <w:tcW w:type="dxa" w:w="2784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Non visual neocortex ratio</w:t>
            </w: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vertAlign w:val="superscript"/>
                <w:rtl w:val="0"/>
                <w:lang w:val="en-US"/>
              </w:rPr>
              <w:t>2</w:t>
            </w:r>
          </w:p>
        </w:tc>
        <w:tc>
          <w:tcPr>
            <w:tcW w:type="dxa" w:w="1261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>0.121</w:t>
            </w:r>
          </w:p>
        </w:tc>
        <w:tc>
          <w:tcPr>
            <w:tcW w:type="dxa" w:w="1532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>0.075</w:t>
            </w:r>
          </w:p>
        </w:tc>
        <w:tc>
          <w:tcPr>
            <w:tcW w:type="dxa" w:w="1516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>1.604</w:t>
            </w:r>
          </w:p>
        </w:tc>
        <w:tc>
          <w:tcPr>
            <w:tcW w:type="dxa" w:w="1520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>0.125</w:t>
            </w:r>
          </w:p>
        </w:tc>
      </w:tr>
      <w:tr>
        <w:tblPrEx>
          <w:shd w:val="clear" w:color="auto" w:fill="cadfff"/>
        </w:tblPrEx>
        <w:trPr>
          <w:trHeight w:val="490" w:hRule="atLeast"/>
        </w:trPr>
        <w:tc>
          <w:tcPr>
            <w:tcW w:type="dxa" w:w="2784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Model summary:</w:t>
            </w:r>
          </w:p>
        </w:tc>
        <w:tc>
          <w:tcPr>
            <w:tcW w:type="dxa" w:w="1261"/>
            <w:tcBorders>
              <w:top w:val="single" w:color="000001" w:sz="4" w:space="0" w:shadow="0" w:frame="0"/>
              <w:left w:val="single" w:color="ffffff" w:sz="8" w:space="0" w:shadow="0" w:frame="0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2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16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20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490" w:hRule="atLeast"/>
        </w:trPr>
        <w:tc>
          <w:tcPr>
            <w:tcW w:type="dxa" w:w="2784"/>
            <w:tcBorders>
              <w:top w:val="single" w:color="000001" w:sz="4" w:space="0" w:shadow="0" w:frame="0"/>
              <w:left w:val="nil"/>
              <w:bottom w:val="nil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R</w:t>
            </w: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vertAlign w:val="superscript"/>
                <w:rtl w:val="0"/>
                <w:lang w:val="en-US"/>
              </w:rPr>
              <w:t>2</w:t>
            </w:r>
          </w:p>
        </w:tc>
        <w:tc>
          <w:tcPr>
            <w:tcW w:type="dxa" w:w="1261"/>
            <w:tcBorders>
              <w:top w:val="single" w:color="000001" w:sz="4" w:space="0" w:shadow="0" w:frame="0"/>
              <w:left w:val="nil"/>
              <w:bottom w:val="nil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>0.281</w:t>
            </w:r>
          </w:p>
        </w:tc>
        <w:tc>
          <w:tcPr>
            <w:tcW w:type="dxa" w:w="1532"/>
            <w:tcBorders>
              <w:top w:val="single" w:color="000001" w:sz="4" w:space="0" w:shadow="0" w:frame="0"/>
              <w:left w:val="nil"/>
              <w:bottom w:val="nil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16"/>
            <w:tcBorders>
              <w:top w:val="single" w:color="000001" w:sz="4" w:space="0" w:shadow="0" w:frame="0"/>
              <w:left w:val="nil"/>
              <w:bottom w:val="nil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20"/>
            <w:tcBorders>
              <w:top w:val="single" w:color="000001" w:sz="4" w:space="0" w:shadow="0" w:frame="0"/>
              <w:left w:val="nil"/>
              <w:bottom w:val="nil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2784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 w:hint="default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λ</w:t>
            </w:r>
          </w:p>
        </w:tc>
        <w:tc>
          <w:tcPr>
            <w:tcW w:type="dxa" w:w="1261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>0.404</w:t>
            </w:r>
          </w:p>
        </w:tc>
        <w:tc>
          <w:tcPr>
            <w:tcW w:type="dxa" w:w="1532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16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20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373" w:hRule="atLeast"/>
        </w:trPr>
        <w:tc>
          <w:tcPr>
            <w:tcW w:type="dxa" w:w="8614"/>
            <w:gridSpan w:val="5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Juvenile period</w:t>
            </w: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vertAlign w:val="superscript"/>
                <w:rtl w:val="0"/>
                <w:lang w:val="en-US"/>
              </w:rPr>
              <w:t>1</w:t>
            </w: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 xml:space="preserve"> ~ Non visual neocortex ratio + Weight </w:t>
            </w:r>
          </w:p>
        </w:tc>
      </w:tr>
      <w:tr>
        <w:tblPrEx>
          <w:shd w:val="clear" w:color="auto" w:fill="cadfff"/>
        </w:tblPrEx>
        <w:trPr>
          <w:trHeight w:val="490" w:hRule="atLeast"/>
        </w:trPr>
        <w:tc>
          <w:tcPr>
            <w:tcW w:type="dxa" w:w="2784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1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b</w:t>
            </w:r>
          </w:p>
        </w:tc>
        <w:tc>
          <w:tcPr>
            <w:tcW w:type="dxa" w:w="1532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se</w:t>
            </w:r>
          </w:p>
        </w:tc>
        <w:tc>
          <w:tcPr>
            <w:tcW w:type="dxa" w:w="1516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t</w:t>
            </w:r>
          </w:p>
        </w:tc>
        <w:tc>
          <w:tcPr>
            <w:tcW w:type="dxa" w:w="1520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cadfff"/>
        </w:tblPrEx>
        <w:trPr>
          <w:trHeight w:val="373" w:hRule="atLeast"/>
        </w:trPr>
        <w:tc>
          <w:tcPr>
            <w:tcW w:type="dxa" w:w="2784"/>
            <w:tcBorders>
              <w:top w:val="single" w:color="000001" w:sz="4" w:space="0" w:shadow="0" w:frame="0"/>
              <w:left w:val="nil"/>
              <w:bottom w:val="nil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Non visual neocortex ratio</w:t>
            </w:r>
          </w:p>
        </w:tc>
        <w:tc>
          <w:tcPr>
            <w:tcW w:type="dxa" w:w="1261"/>
            <w:tcBorders>
              <w:top w:val="single" w:color="000001" w:sz="4" w:space="0" w:shadow="0" w:frame="0"/>
              <w:left w:val="nil"/>
              <w:bottom w:val="nil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>0.106</w:t>
            </w:r>
          </w:p>
        </w:tc>
        <w:tc>
          <w:tcPr>
            <w:tcW w:type="dxa" w:w="1532"/>
            <w:tcBorders>
              <w:top w:val="single" w:color="000001" w:sz="4" w:space="0" w:shadow="0" w:frame="0"/>
              <w:left w:val="nil"/>
              <w:bottom w:val="nil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>0.084</w:t>
            </w:r>
          </w:p>
        </w:tc>
        <w:tc>
          <w:tcPr>
            <w:tcW w:type="dxa" w:w="1516"/>
            <w:tcBorders>
              <w:top w:val="single" w:color="000001" w:sz="4" w:space="0" w:shadow="0" w:frame="0"/>
              <w:left w:val="nil"/>
              <w:bottom w:val="nil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>1.261</w:t>
            </w:r>
          </w:p>
        </w:tc>
        <w:tc>
          <w:tcPr>
            <w:tcW w:type="dxa" w:w="1520"/>
            <w:tcBorders>
              <w:top w:val="single" w:color="000001" w:sz="4" w:space="0" w:shadow="0" w:frame="0"/>
              <w:left w:val="nil"/>
              <w:bottom w:val="nil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>0.222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2784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  <w:tab w:val="left" w:pos="26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Weight</w:t>
            </w:r>
          </w:p>
        </w:tc>
        <w:tc>
          <w:tcPr>
            <w:tcW w:type="dxa" w:w="1261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>0.001</w:t>
            </w:r>
          </w:p>
        </w:tc>
        <w:tc>
          <w:tcPr>
            <w:tcW w:type="dxa" w:w="1532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>0.001</w:t>
            </w:r>
          </w:p>
        </w:tc>
        <w:tc>
          <w:tcPr>
            <w:tcW w:type="dxa" w:w="1516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>0.482</w:t>
            </w:r>
          </w:p>
        </w:tc>
        <w:tc>
          <w:tcPr>
            <w:tcW w:type="dxa" w:w="1520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tabs>
                <w:tab w:val="left" w:pos="13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>0.635</w:t>
            </w:r>
          </w:p>
        </w:tc>
      </w:tr>
      <w:tr>
        <w:tblPrEx>
          <w:shd w:val="clear" w:color="auto" w:fill="cadfff"/>
        </w:tblPrEx>
        <w:trPr>
          <w:trHeight w:val="490" w:hRule="atLeast"/>
        </w:trPr>
        <w:tc>
          <w:tcPr>
            <w:tcW w:type="dxa" w:w="2784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  <w:tab w:val="left" w:pos="2608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Model summary:</w:t>
            </w:r>
          </w:p>
        </w:tc>
        <w:tc>
          <w:tcPr>
            <w:tcW w:type="dxa" w:w="1261"/>
            <w:tcBorders>
              <w:top w:val="single" w:color="000001" w:sz="4" w:space="0" w:shadow="0" w:frame="0"/>
              <w:left w:val="single" w:color="ffffff" w:sz="8" w:space="0" w:shadow="0" w:frame="0"/>
              <w:bottom w:val="single" w:color="000001" w:sz="4" w:space="0" w:shadow="0" w:frame="0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2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16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20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490" w:hRule="atLeast"/>
        </w:trPr>
        <w:tc>
          <w:tcPr>
            <w:tcW w:type="dxa" w:w="2784"/>
            <w:tcBorders>
              <w:top w:val="single" w:color="000001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  <w:tab w:val="left" w:pos="2608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R</w:t>
            </w: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vertAlign w:val="superscript"/>
                <w:rtl w:val="0"/>
                <w:lang w:val="en-US"/>
              </w:rPr>
              <w:t>2</w:t>
            </w:r>
          </w:p>
        </w:tc>
        <w:tc>
          <w:tcPr>
            <w:tcW w:type="dxa" w:w="1261"/>
            <w:tcBorders>
              <w:top w:val="single" w:color="000001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shd w:val="clear" w:color="auto" w:fill="ffffff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>0.285</w:t>
            </w:r>
          </w:p>
        </w:tc>
        <w:tc>
          <w:tcPr>
            <w:tcW w:type="dxa" w:w="1532"/>
            <w:tcBorders>
              <w:top w:val="single" w:color="000001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16"/>
            <w:tcBorders>
              <w:top w:val="single" w:color="000001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20"/>
            <w:tcBorders>
              <w:top w:val="single" w:color="000001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2784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  <w:tab w:val="left" w:pos="2608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λ</w:t>
            </w:r>
          </w:p>
        </w:tc>
        <w:tc>
          <w:tcPr>
            <w:tcW w:type="dxa" w:w="1261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shd w:val="clear" w:color="auto" w:fill="ffffff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>0.397</w:t>
            </w:r>
          </w:p>
        </w:tc>
        <w:tc>
          <w:tcPr>
            <w:tcW w:type="dxa" w:w="1532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16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20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618" w:hRule="atLeast"/>
        </w:trPr>
        <w:tc>
          <w:tcPr>
            <w:tcW w:type="dxa" w:w="8614"/>
            <w:gridSpan w:val="5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sz w:val="16"/>
                <w:szCs w:val="16"/>
                <w:u w:color="000000"/>
                <w:vertAlign w:val="superscript"/>
                <w:rtl w:val="0"/>
                <w:lang w:val="en-US"/>
              </w:rPr>
              <w:t>1</w:t>
            </w: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 xml:space="preserve">Juvenile period is calculated as the ratio (age till sexual maturity minus weaning period) / lifespan. </w:t>
            </w:r>
            <w:r>
              <w:rPr>
                <w:rFonts w:ascii="Cambria" w:cs="Cambria" w:hAnsi="Cambria" w:eastAsia="Cambria"/>
                <w:sz w:val="16"/>
                <w:szCs w:val="16"/>
                <w:u w:color="000000"/>
                <w:vertAlign w:val="superscript"/>
                <w:rtl w:val="0"/>
                <w:lang w:val="en-US"/>
              </w:rPr>
              <w:t>2</w:t>
            </w:r>
            <w:r>
              <w:rPr>
                <w:rFonts w:ascii="Cambria" w:cs="Cambria" w:hAnsi="Cambria" w:eastAsia="Cambria"/>
                <w:sz w:val="16"/>
                <w:szCs w:val="16"/>
                <w:u w:color="000000"/>
                <w:rtl w:val="0"/>
                <w:lang w:val="en-US"/>
              </w:rPr>
              <w:t xml:space="preserve">Non visual neocortex ratio is calculated as (neocortex minus visual cortex) / rest of brain. 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