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D1" w:rsidRPr="003E4911" w:rsidRDefault="009546D1" w:rsidP="009546D1">
      <w:pPr>
        <w:spacing w:line="276" w:lineRule="auto"/>
        <w:rPr>
          <w:rFonts w:cs="Times New Roman"/>
          <w:b/>
          <w:sz w:val="26"/>
          <w:szCs w:val="26"/>
          <w:u w:val="single"/>
          <w:shd w:val="clear" w:color="auto" w:fill="FFFFFF"/>
        </w:rPr>
      </w:pPr>
      <w:r w:rsidRPr="003E4911">
        <w:rPr>
          <w:rFonts w:cs="Times New Roman"/>
          <w:b/>
          <w:sz w:val="26"/>
          <w:szCs w:val="26"/>
          <w:u w:val="single"/>
          <w:shd w:val="clear" w:color="auto" w:fill="FFFFFF"/>
        </w:rPr>
        <w:t>S1 – Supplementary text</w:t>
      </w:r>
    </w:p>
    <w:p w:rsidR="009546D1" w:rsidRPr="003E4911" w:rsidRDefault="009546D1" w:rsidP="009546D1">
      <w:pPr>
        <w:spacing w:line="276" w:lineRule="auto"/>
        <w:rPr>
          <w:rFonts w:cs="Times New Roman"/>
          <w:i/>
          <w:shd w:val="clear" w:color="auto" w:fill="FFFFFF"/>
        </w:rPr>
      </w:pPr>
      <w:r w:rsidRPr="003E4911">
        <w:rPr>
          <w:rFonts w:cs="Times New Roman"/>
          <w:i/>
          <w:shd w:val="clear" w:color="auto" w:fill="FFFFFF"/>
        </w:rPr>
        <w:t>Jones et al. (2019) Unusual Mortality of Tufted puffins (</w:t>
      </w:r>
      <w:proofErr w:type="spellStart"/>
      <w:r w:rsidRPr="003E4911">
        <w:rPr>
          <w:rFonts w:cs="Times New Roman"/>
          <w:i/>
          <w:shd w:val="clear" w:color="auto" w:fill="FFFFFF"/>
        </w:rPr>
        <w:t>Fratercula</w:t>
      </w:r>
      <w:proofErr w:type="spellEnd"/>
      <w:r w:rsidRPr="003E4911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3E4911">
        <w:rPr>
          <w:rFonts w:cs="Times New Roman"/>
          <w:i/>
          <w:shd w:val="clear" w:color="auto" w:fill="FFFFFF"/>
        </w:rPr>
        <w:t>cirrhata</w:t>
      </w:r>
      <w:proofErr w:type="spellEnd"/>
      <w:r w:rsidRPr="003E4911">
        <w:rPr>
          <w:rFonts w:cs="Times New Roman"/>
          <w:i/>
          <w:shd w:val="clear" w:color="auto" w:fill="FFFFFF"/>
        </w:rPr>
        <w:t xml:space="preserve">) in the eastern Bering Sea. </w:t>
      </w:r>
      <w:proofErr w:type="spellStart"/>
      <w:r w:rsidRPr="003E4911">
        <w:rPr>
          <w:rFonts w:cs="Times New Roman"/>
          <w:i/>
          <w:shd w:val="clear" w:color="auto" w:fill="FFFFFF"/>
        </w:rPr>
        <w:t>PLoS</w:t>
      </w:r>
      <w:proofErr w:type="spellEnd"/>
      <w:r w:rsidRPr="003E4911">
        <w:rPr>
          <w:rFonts w:cs="Times New Roman"/>
          <w:i/>
          <w:shd w:val="clear" w:color="auto" w:fill="FFFFFF"/>
        </w:rPr>
        <w:t xml:space="preserve"> ONE.</w:t>
      </w:r>
    </w:p>
    <w:p w:rsidR="009546D1" w:rsidRDefault="009546D1" w:rsidP="009546D1">
      <w:pPr>
        <w:spacing w:line="360" w:lineRule="auto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>Intactness Analyses</w:t>
      </w:r>
    </w:p>
    <w:p w:rsidR="009546D1" w:rsidRDefault="009546D1" w:rsidP="009546D1">
      <w:pPr>
        <w:spacing w:line="360" w:lineRule="auto"/>
      </w:pPr>
      <w:r>
        <w:t>To explore whether island scavengers, primarily Arctic foxes (</w:t>
      </w:r>
      <w:proofErr w:type="spellStart"/>
      <w:r w:rsidRPr="005E4DBC">
        <w:rPr>
          <w:i/>
        </w:rPr>
        <w:t>Vulpes</w:t>
      </w:r>
      <w:proofErr w:type="spellEnd"/>
      <w:r w:rsidRPr="005E4DBC">
        <w:rPr>
          <w:i/>
        </w:rPr>
        <w:t xml:space="preserve"> </w:t>
      </w:r>
      <w:proofErr w:type="spellStart"/>
      <w:r w:rsidRPr="005E4DBC">
        <w:rPr>
          <w:i/>
        </w:rPr>
        <w:t>lagopus</w:t>
      </w:r>
      <w:proofErr w:type="spellEnd"/>
      <w:r>
        <w:t xml:space="preserve">), were satiated by the magnitude of carcass deposition/availability during the event, we tested and compared models of carcass intactness </w:t>
      </w:r>
      <w:r>
        <w:rPr>
          <w:lang w:val="en-GB"/>
        </w:rPr>
        <w:t>coded as a binomial response; 1 = fully intact; 0 = any wounds/partial carcasses; where the latter was assumed to be an indication of scavenging.</w:t>
      </w:r>
      <w:r>
        <w:t xml:space="preserve"> In addition to a </w:t>
      </w:r>
      <w:r w:rsidRPr="00D1530D">
        <w:t>temporal factor</w:t>
      </w:r>
      <w:r>
        <w:t xml:space="preserve"> distinguishing birds found during baseline surveys (prior to October 2016) from MME birds (October 2016 to February 2017), we trialed predictors of: </w:t>
      </w:r>
      <w:r w:rsidRPr="00D1530D">
        <w:t>carcass abundance</w:t>
      </w:r>
      <w:r>
        <w:t xml:space="preserve"> specific to survey and</w:t>
      </w:r>
      <w:r w:rsidRPr="000560F0">
        <w:rPr>
          <w:i/>
        </w:rPr>
        <w:t xml:space="preserve"> </w:t>
      </w:r>
      <w:r w:rsidRPr="00D1530D">
        <w:t xml:space="preserve">bird </w:t>
      </w:r>
      <w:r w:rsidRPr="00A34CBD">
        <w:t xml:space="preserve">size, where the </w:t>
      </w:r>
      <w:r w:rsidRPr="00D711FA">
        <w:t>latter was</w:t>
      </w:r>
      <w:r w:rsidRPr="00D711FA">
        <w:rPr>
          <w:i/>
        </w:rPr>
        <w:t xml:space="preserve"> </w:t>
      </w:r>
      <w:r w:rsidRPr="00D711FA">
        <w:t xml:space="preserve">divided into three categories by species after Ford </w:t>
      </w:r>
      <w:r>
        <w:t>2006</w:t>
      </w:r>
      <w:r w:rsidRPr="00D711FA">
        <w:t xml:space="preserve"> - small: storm-petrels (</w:t>
      </w:r>
      <w:proofErr w:type="spellStart"/>
      <w:r w:rsidRPr="00D711FA">
        <w:rPr>
          <w:i/>
        </w:rPr>
        <w:t>Oceanodroma</w:t>
      </w:r>
      <w:proofErr w:type="spellEnd"/>
      <w:r w:rsidRPr="00D711FA">
        <w:t xml:space="preserve"> spp.), auklets (</w:t>
      </w:r>
      <w:proofErr w:type="spellStart"/>
      <w:r w:rsidRPr="00D711FA">
        <w:rPr>
          <w:i/>
        </w:rPr>
        <w:t>Aethia</w:t>
      </w:r>
      <w:proofErr w:type="spellEnd"/>
      <w:r w:rsidRPr="00D711FA">
        <w:t xml:space="preserve"> spp.), kittiwakes (</w:t>
      </w:r>
      <w:proofErr w:type="spellStart"/>
      <w:r w:rsidRPr="00D711FA">
        <w:rPr>
          <w:i/>
        </w:rPr>
        <w:t>Rissa</w:t>
      </w:r>
      <w:proofErr w:type="spellEnd"/>
      <w:r w:rsidRPr="00D711FA">
        <w:t xml:space="preserve"> spp.) and shorebirds; medium: shearwaters (</w:t>
      </w:r>
      <w:proofErr w:type="spellStart"/>
      <w:r w:rsidRPr="00D711FA">
        <w:rPr>
          <w:i/>
        </w:rPr>
        <w:t>Ardenna</w:t>
      </w:r>
      <w:proofErr w:type="spellEnd"/>
      <w:r w:rsidRPr="00A34CBD">
        <w:t xml:space="preserve"> spp.), Northern fulmars (</w:t>
      </w:r>
      <w:proofErr w:type="spellStart"/>
      <w:r w:rsidRPr="00A34CBD">
        <w:rPr>
          <w:i/>
        </w:rPr>
        <w:t>Fulmarus</w:t>
      </w:r>
      <w:proofErr w:type="spellEnd"/>
      <w:r w:rsidRPr="00A34CBD">
        <w:rPr>
          <w:i/>
        </w:rPr>
        <w:t xml:space="preserve"> </w:t>
      </w:r>
      <w:proofErr w:type="spellStart"/>
      <w:r w:rsidRPr="00A34CBD">
        <w:rPr>
          <w:i/>
        </w:rPr>
        <w:t>glacialis</w:t>
      </w:r>
      <w:proofErr w:type="spellEnd"/>
      <w:r w:rsidRPr="00A34CBD">
        <w:t xml:space="preserve">), </w:t>
      </w:r>
      <w:proofErr w:type="spellStart"/>
      <w:r w:rsidRPr="00A34CBD">
        <w:t>murres</w:t>
      </w:r>
      <w:proofErr w:type="spellEnd"/>
      <w:r w:rsidRPr="00A34CBD">
        <w:t xml:space="preserve"> (</w:t>
      </w:r>
      <w:proofErr w:type="spellStart"/>
      <w:r w:rsidRPr="00A34CBD">
        <w:rPr>
          <w:i/>
        </w:rPr>
        <w:t>Uria</w:t>
      </w:r>
      <w:proofErr w:type="spellEnd"/>
      <w:r w:rsidRPr="00A34CBD">
        <w:t xml:space="preserve"> spp</w:t>
      </w:r>
      <w:r>
        <w:t>.</w:t>
      </w:r>
      <w:r w:rsidRPr="00A34CBD">
        <w:t>) and puffins (</w:t>
      </w:r>
      <w:proofErr w:type="spellStart"/>
      <w:r w:rsidRPr="00A34CBD">
        <w:rPr>
          <w:i/>
        </w:rPr>
        <w:t>Fratercula</w:t>
      </w:r>
      <w:proofErr w:type="spellEnd"/>
      <w:r w:rsidRPr="00A34CBD">
        <w:rPr>
          <w:i/>
        </w:rPr>
        <w:t xml:space="preserve"> </w:t>
      </w:r>
      <w:r w:rsidRPr="00A34CBD">
        <w:t>spp.); large: gulls (</w:t>
      </w:r>
      <w:proofErr w:type="spellStart"/>
      <w:r w:rsidRPr="00A34CBD">
        <w:rPr>
          <w:i/>
        </w:rPr>
        <w:t>Larus</w:t>
      </w:r>
      <w:proofErr w:type="spellEnd"/>
      <w:r w:rsidRPr="00A34CBD">
        <w:t xml:space="preserve"> spp.) and cormorants (</w:t>
      </w:r>
      <w:proofErr w:type="spellStart"/>
      <w:r w:rsidRPr="00A34CBD">
        <w:rPr>
          <w:i/>
        </w:rPr>
        <w:t>Phalacrocorax</w:t>
      </w:r>
      <w:proofErr w:type="spellEnd"/>
      <w:r w:rsidRPr="00A34CBD">
        <w:t xml:space="preserve"> spp.). </w:t>
      </w:r>
      <w:r>
        <w:t>All models included a random-effect of survey to account for similarity of carcass condition that might arise from similar deposition/residence time (i.e. synchronous deposition of multiple carcasses), and scavenging pressure experienced by carcasses found within the same survey.</w:t>
      </w:r>
      <w:r w:rsidRPr="00A34CBD">
        <w:t xml:space="preserve"> We explored all</w:t>
      </w:r>
      <w:r>
        <w:t xml:space="preserve"> predictor combinations using binomial generalized linear mixed-effects models (GLMMs) and subsequently ranked models based on small sample size corrected </w:t>
      </w:r>
      <w:proofErr w:type="spellStart"/>
      <w:r>
        <w:t>Akaike</w:t>
      </w:r>
      <w:proofErr w:type="spellEnd"/>
      <w:r>
        <w:t xml:space="preserve"> I</w:t>
      </w:r>
      <w:r w:rsidRPr="00883D60">
        <w:t xml:space="preserve">nformation </w:t>
      </w:r>
      <w:r>
        <w:t>C</w:t>
      </w:r>
      <w:r w:rsidRPr="00883D60">
        <w:t>riterion</w:t>
      </w:r>
      <w:r>
        <w:t xml:space="preserve"> (</w:t>
      </w:r>
      <w:proofErr w:type="spellStart"/>
      <w:r>
        <w:t>AICc</w:t>
      </w:r>
      <w:proofErr w:type="spellEnd"/>
      <w:r>
        <w:t>).</w:t>
      </w:r>
    </w:p>
    <w:p w:rsidR="009546D1" w:rsidRDefault="009546D1" w:rsidP="009546D1">
      <w:pPr>
        <w:spacing w:line="360" w:lineRule="auto"/>
      </w:pPr>
      <w:r>
        <w:t>During the die-off, a large proportion of the carcasses encountered were fresh (e.g., intact carcass with clear fully rounded eyes). Our best-fitting model describing carcass intactness included time period (baseline versus event) as the single predictor (</w:t>
      </w:r>
      <w:r w:rsidRPr="00CE7F4A">
        <w:rPr>
          <w:b/>
        </w:rPr>
        <w:t xml:space="preserve">Table </w:t>
      </w:r>
      <w:r>
        <w:rPr>
          <w:b/>
        </w:rPr>
        <w:t>1</w:t>
      </w:r>
      <w:r>
        <w:t>), highlighting that many more carcasses were found intact during this event (74.5%, 95% CI: 60-85%) than in baseline surveys (17%, 95% CI: 10-25%). The second ranked model (</w:t>
      </w:r>
      <w:proofErr w:type="spellStart"/>
      <w:r>
        <w:rPr>
          <w:rFonts w:cs="Times New Roman"/>
        </w:rPr>
        <w:t>Δ</w:t>
      </w:r>
      <w:r w:rsidRPr="00A76A53">
        <w:rPr>
          <w:vertAlign w:val="subscript"/>
        </w:rPr>
        <w:t>AICc</w:t>
      </w:r>
      <w:proofErr w:type="spellEnd"/>
      <w:r>
        <w:t xml:space="preserve"> of &lt; 2.0) also included a significant positive effect of carcass abundance, indicating that intactness was higher in surveys with more carcasses. </w:t>
      </w:r>
    </w:p>
    <w:p w:rsidR="009546D1" w:rsidRDefault="009546D1" w:rsidP="009546D1">
      <w:pPr>
        <w:spacing w:line="360" w:lineRule="auto"/>
      </w:pPr>
      <w:r>
        <w:t>T</w:t>
      </w:r>
      <w:r w:rsidRPr="00675C61">
        <w:t xml:space="preserve">hese results suggest that the island's scavenger population </w:t>
      </w:r>
      <w:r w:rsidR="00A65007">
        <w:t xml:space="preserve">may have been </w:t>
      </w:r>
      <w:r>
        <w:t xml:space="preserve">satiated </w:t>
      </w:r>
      <w:r w:rsidRPr="00675C61">
        <w:t>by carcass</w:t>
      </w:r>
      <w:r>
        <w:t xml:space="preserve"> deposition during the event, and possibly more so during periods with highest carcass abundance</w:t>
      </w:r>
      <w:r w:rsidRPr="00675C61">
        <w:t>.</w:t>
      </w:r>
      <w:r>
        <w:t xml:space="preserve"> </w:t>
      </w:r>
      <w:r w:rsidRPr="00995190">
        <w:t xml:space="preserve">However, </w:t>
      </w:r>
      <w:r>
        <w:t xml:space="preserve">because we cannot account for differences in survey frequency between </w:t>
      </w:r>
      <w:r>
        <w:lastRenderedPageBreak/>
        <w:t>baseline (search interval: 2-4 weeks) and event (daily) surveys</w:t>
      </w:r>
      <w:r w:rsidR="00A65007">
        <w:t xml:space="preserve"> in these models</w:t>
      </w:r>
      <w:r>
        <w:t xml:space="preserve">, these differences may </w:t>
      </w:r>
      <w:r w:rsidR="00A65007">
        <w:t>to some unknown degree be due to t</w:t>
      </w:r>
      <w:r>
        <w:t xml:space="preserve">he increased survey frequency during the event, and therefore we cannot conclusively report that the difference in intactness was due to scavenger satiation. </w:t>
      </w:r>
    </w:p>
    <w:p w:rsidR="009546D1" w:rsidRPr="00F05E1D" w:rsidRDefault="009546D1" w:rsidP="009546D1">
      <w:pPr>
        <w:spacing w:after="0"/>
        <w:rPr>
          <w:b/>
        </w:rPr>
      </w:pPr>
      <w:r>
        <w:rPr>
          <w:b/>
        </w:rPr>
        <w:t>Table 1</w:t>
      </w:r>
      <w:r w:rsidRPr="00162A42">
        <w:rPr>
          <w:b/>
        </w:rPr>
        <w:t>. Model results of binomial GLM</w:t>
      </w:r>
      <w:r>
        <w:rPr>
          <w:b/>
        </w:rPr>
        <w:t>M</w:t>
      </w:r>
      <w:r w:rsidRPr="00162A42">
        <w:rPr>
          <w:b/>
        </w:rPr>
        <w:t>s (link = logit) fitted to carcass intactness data.</w:t>
      </w:r>
      <w:r w:rsidRPr="00FA5211">
        <w:t xml:space="preserve"> </w:t>
      </w:r>
    </w:p>
    <w:tbl>
      <w:tblPr>
        <w:tblW w:w="4392" w:type="pct"/>
        <w:jc w:val="center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995"/>
        <w:gridCol w:w="992"/>
        <w:gridCol w:w="992"/>
        <w:gridCol w:w="2128"/>
        <w:gridCol w:w="1273"/>
      </w:tblGrid>
      <w:tr w:rsidR="009546D1" w:rsidRPr="008B546A" w:rsidTr="001D68B2">
        <w:trPr>
          <w:trHeight w:val="300"/>
          <w:jc w:val="center"/>
        </w:trPr>
        <w:tc>
          <w:tcPr>
            <w:tcW w:w="518" w:type="pct"/>
            <w:vMerge w:val="restart"/>
            <w:vAlign w:val="center"/>
          </w:tcPr>
          <w:p w:rsidR="009546D1" w:rsidRPr="008D6992" w:rsidRDefault="009546D1" w:rsidP="001D68B2">
            <w:pPr>
              <w:pStyle w:val="NoSpacing"/>
              <w:jc w:val="center"/>
            </w:pPr>
            <w:r>
              <w:t>Rank</w:t>
            </w:r>
          </w:p>
        </w:tc>
        <w:tc>
          <w:tcPr>
            <w:tcW w:w="120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6D1" w:rsidRDefault="009546D1" w:rsidP="001D68B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Model stats</w:t>
            </w:r>
          </w:p>
        </w:tc>
        <w:tc>
          <w:tcPr>
            <w:tcW w:w="327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6D1" w:rsidRPr="00220C24" w:rsidRDefault="009546D1" w:rsidP="001D68B2">
            <w:pPr>
              <w:pStyle w:val="NoSpacing"/>
            </w:pPr>
            <w:r>
              <w:t>Parameter estimates</w:t>
            </w:r>
          </w:p>
        </w:tc>
      </w:tr>
      <w:tr w:rsidR="009546D1" w:rsidRPr="008B546A" w:rsidTr="001D68B2">
        <w:trPr>
          <w:trHeight w:val="300"/>
          <w:jc w:val="center"/>
        </w:trPr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:rsidR="009546D1" w:rsidRPr="008D6992" w:rsidRDefault="009546D1" w:rsidP="001D68B2">
            <w:pPr>
              <w:pStyle w:val="NoSpacing"/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proofErr w:type="spellStart"/>
            <w:r w:rsidRPr="00220C24">
              <w:t>AIC</w:t>
            </w:r>
            <w:r>
              <w:t>c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D1" w:rsidRDefault="009546D1" w:rsidP="001D68B2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Δ</w:t>
            </w:r>
            <w:r w:rsidRPr="00A76A53">
              <w:rPr>
                <w:vertAlign w:val="subscript"/>
              </w:rPr>
              <w:t>AICc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 w:rsidRPr="008B546A">
              <w:t>Int</w:t>
            </w:r>
            <w:r>
              <w:t>.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proofErr w:type="spellStart"/>
            <w:r>
              <w:t>Abun</w:t>
            </w:r>
            <w:proofErr w:type="spellEnd"/>
            <w:r w:rsidRPr="008B546A">
              <w:t>.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220C24">
              <w:t>Size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220C24">
              <w:t>Time</w:t>
            </w:r>
          </w:p>
        </w:tc>
      </w:tr>
      <w:tr w:rsidR="009546D1" w:rsidRPr="008B546A" w:rsidTr="001D68B2">
        <w:trPr>
          <w:trHeight w:val="340"/>
          <w:jc w:val="center"/>
        </w:trPr>
        <w:tc>
          <w:tcPr>
            <w:tcW w:w="518" w:type="pct"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b/>
              </w:rPr>
              <w:t>1</w:t>
            </w:r>
          </w:p>
        </w:tc>
        <w:tc>
          <w:tcPr>
            <w:tcW w:w="603" w:type="pct"/>
            <w:vAlign w:val="center"/>
          </w:tcPr>
          <w:p w:rsidR="009546D1" w:rsidRPr="00152652" w:rsidRDefault="009546D1" w:rsidP="001D68B2">
            <w:pPr>
              <w:pStyle w:val="NoSpacing"/>
              <w:jc w:val="center"/>
              <w:rPr>
                <w:b/>
              </w:rPr>
            </w:pPr>
            <w:r w:rsidRPr="00152652">
              <w:rPr>
                <w:rFonts w:cs="Times New Roman"/>
                <w:b/>
                <w:color w:val="000000"/>
                <w:szCs w:val="24"/>
              </w:rPr>
              <w:t>632.0</w:t>
            </w:r>
          </w:p>
        </w:tc>
        <w:tc>
          <w:tcPr>
            <w:tcW w:w="605" w:type="pct"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603" w:type="pct"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b/>
              </w:rPr>
              <w:t>1.07</w:t>
            </w:r>
            <w:r w:rsidRPr="004B4BD1">
              <w:rPr>
                <w:b/>
                <w:vertAlign w:val="superscript"/>
              </w:rPr>
              <w:t>a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b/>
              </w:rPr>
              <w:t>-2.63</w:t>
            </w:r>
          </w:p>
        </w:tc>
      </w:tr>
      <w:tr w:rsidR="009546D1" w:rsidRPr="008B546A" w:rsidTr="001D68B2">
        <w:trPr>
          <w:trHeight w:val="340"/>
          <w:jc w:val="center"/>
        </w:trPr>
        <w:tc>
          <w:tcPr>
            <w:tcW w:w="518" w:type="pct"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b/>
              </w:rPr>
              <w:t>2</w:t>
            </w:r>
          </w:p>
        </w:tc>
        <w:tc>
          <w:tcPr>
            <w:tcW w:w="603" w:type="pct"/>
            <w:vAlign w:val="center"/>
          </w:tcPr>
          <w:p w:rsidR="009546D1" w:rsidRPr="00152652" w:rsidRDefault="009546D1" w:rsidP="001D68B2">
            <w:pPr>
              <w:pStyle w:val="NoSpacing"/>
              <w:jc w:val="center"/>
              <w:rPr>
                <w:b/>
              </w:rPr>
            </w:pPr>
            <w:r w:rsidRPr="00152652">
              <w:rPr>
                <w:rFonts w:cs="Times New Roman"/>
                <w:b/>
                <w:color w:val="000000"/>
                <w:szCs w:val="24"/>
              </w:rPr>
              <w:t>633.2</w:t>
            </w:r>
          </w:p>
        </w:tc>
        <w:tc>
          <w:tcPr>
            <w:tcW w:w="605" w:type="pct"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rFonts w:cs="Times New Roman"/>
                <w:b/>
                <w:color w:val="000000"/>
                <w:szCs w:val="24"/>
              </w:rPr>
              <w:t>1.3</w:t>
            </w:r>
          </w:p>
        </w:tc>
        <w:tc>
          <w:tcPr>
            <w:tcW w:w="603" w:type="pct"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b/>
              </w:rPr>
              <w:t>0.67</w:t>
            </w:r>
            <w:r w:rsidRPr="004B4BD1">
              <w:rPr>
                <w:b/>
                <w:vertAlign w:val="superscript"/>
              </w:rPr>
              <w:t>a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b/>
              </w:rPr>
              <w:t>0.02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9546D1" w:rsidRPr="004B4BD1" w:rsidRDefault="009546D1" w:rsidP="001D68B2">
            <w:pPr>
              <w:pStyle w:val="NoSpacing"/>
              <w:jc w:val="center"/>
              <w:rPr>
                <w:b/>
              </w:rPr>
            </w:pPr>
            <w:r w:rsidRPr="004B4BD1">
              <w:rPr>
                <w:b/>
              </w:rPr>
              <w:t>-2.29</w:t>
            </w:r>
          </w:p>
        </w:tc>
      </w:tr>
      <w:tr w:rsidR="009546D1" w:rsidRPr="008B546A" w:rsidTr="001D68B2">
        <w:trPr>
          <w:trHeight w:val="340"/>
          <w:jc w:val="center"/>
        </w:trPr>
        <w:tc>
          <w:tcPr>
            <w:tcW w:w="518" w:type="pct"/>
            <w:vAlign w:val="center"/>
          </w:tcPr>
          <w:p w:rsidR="009546D1" w:rsidRDefault="009546D1" w:rsidP="001D68B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03" w:type="pct"/>
            <w:vAlign w:val="center"/>
          </w:tcPr>
          <w:p w:rsidR="009546D1" w:rsidRPr="00152652" w:rsidRDefault="009546D1" w:rsidP="001D68B2">
            <w:pPr>
              <w:pStyle w:val="NoSpacing"/>
              <w:jc w:val="center"/>
            </w:pPr>
            <w:r w:rsidRPr="00152652">
              <w:rPr>
                <w:rFonts w:cs="Times New Roman"/>
                <w:color w:val="000000"/>
                <w:szCs w:val="24"/>
              </w:rPr>
              <w:t>635.9</w:t>
            </w:r>
          </w:p>
        </w:tc>
        <w:tc>
          <w:tcPr>
            <w:tcW w:w="605" w:type="pct"/>
            <w:vAlign w:val="center"/>
          </w:tcPr>
          <w:p w:rsidR="009546D1" w:rsidRDefault="009546D1" w:rsidP="001D68B2">
            <w:pPr>
              <w:pStyle w:val="NoSpacing"/>
              <w:jc w:val="center"/>
            </w:pPr>
            <w:r w:rsidRPr="00AA6388">
              <w:rPr>
                <w:rFonts w:cs="Times New Roman"/>
                <w:color w:val="000000"/>
                <w:szCs w:val="24"/>
              </w:rPr>
              <w:t>3.9</w:t>
            </w:r>
          </w:p>
        </w:tc>
        <w:tc>
          <w:tcPr>
            <w:tcW w:w="603" w:type="pct"/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>
              <w:t>1.17</w:t>
            </w:r>
            <w:r>
              <w:rPr>
                <w:vertAlign w:val="superscript"/>
              </w:rPr>
              <w:t>b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>
              <w:t>M:-0.08, S:-0.20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>
              <w:t>-2.63</w:t>
            </w:r>
          </w:p>
        </w:tc>
      </w:tr>
      <w:tr w:rsidR="009546D1" w:rsidRPr="008B546A" w:rsidTr="001D68B2">
        <w:trPr>
          <w:trHeight w:val="340"/>
          <w:jc w:val="center"/>
        </w:trPr>
        <w:tc>
          <w:tcPr>
            <w:tcW w:w="518" w:type="pct"/>
            <w:vAlign w:val="center"/>
          </w:tcPr>
          <w:p w:rsidR="009546D1" w:rsidRDefault="009546D1" w:rsidP="001D68B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03" w:type="pct"/>
            <w:vAlign w:val="center"/>
          </w:tcPr>
          <w:p w:rsidR="009546D1" w:rsidRPr="00152652" w:rsidRDefault="009546D1" w:rsidP="001D68B2">
            <w:pPr>
              <w:pStyle w:val="NoSpacing"/>
              <w:jc w:val="center"/>
            </w:pPr>
            <w:r w:rsidRPr="00152652">
              <w:rPr>
                <w:rFonts w:cs="Times New Roman"/>
                <w:color w:val="000000"/>
                <w:szCs w:val="24"/>
              </w:rPr>
              <w:t>637.2</w:t>
            </w:r>
          </w:p>
        </w:tc>
        <w:tc>
          <w:tcPr>
            <w:tcW w:w="605" w:type="pct"/>
            <w:vAlign w:val="center"/>
          </w:tcPr>
          <w:p w:rsidR="009546D1" w:rsidRDefault="009546D1" w:rsidP="001D68B2">
            <w:pPr>
              <w:pStyle w:val="NoSpacing"/>
              <w:jc w:val="center"/>
            </w:pPr>
            <w:r w:rsidRPr="00AA6388">
              <w:rPr>
                <w:rFonts w:cs="Times New Roman"/>
                <w:color w:val="000000"/>
                <w:szCs w:val="24"/>
              </w:rPr>
              <w:t>5.3</w:t>
            </w:r>
          </w:p>
        </w:tc>
        <w:tc>
          <w:tcPr>
            <w:tcW w:w="603" w:type="pct"/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>
              <w:t>0.80</w:t>
            </w:r>
            <w:r>
              <w:rPr>
                <w:vertAlign w:val="superscript"/>
              </w:rPr>
              <w:t>b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8B546A">
              <w:t>0.0</w:t>
            </w:r>
            <w:r>
              <w:t>2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8B546A">
              <w:t>M:</w:t>
            </w:r>
            <w:r>
              <w:t>-</w:t>
            </w:r>
            <w:r w:rsidRPr="008B546A">
              <w:t>0.</w:t>
            </w:r>
            <w:r>
              <w:t>12, S:-0.18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8B546A">
              <w:t>-2.</w:t>
            </w:r>
            <w:r>
              <w:t>30</w:t>
            </w:r>
          </w:p>
        </w:tc>
      </w:tr>
      <w:tr w:rsidR="009546D1" w:rsidRPr="008B546A" w:rsidTr="001D68B2">
        <w:trPr>
          <w:trHeight w:val="340"/>
          <w:jc w:val="center"/>
        </w:trPr>
        <w:tc>
          <w:tcPr>
            <w:tcW w:w="518" w:type="pct"/>
            <w:vAlign w:val="center"/>
          </w:tcPr>
          <w:p w:rsidR="009546D1" w:rsidRDefault="009546D1" w:rsidP="001D68B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03" w:type="pct"/>
            <w:vAlign w:val="center"/>
          </w:tcPr>
          <w:p w:rsidR="009546D1" w:rsidRPr="00152652" w:rsidRDefault="009546D1" w:rsidP="001D68B2">
            <w:pPr>
              <w:pStyle w:val="NoSpacing"/>
              <w:jc w:val="center"/>
            </w:pPr>
            <w:r w:rsidRPr="00152652">
              <w:rPr>
                <w:rFonts w:cs="Times New Roman"/>
                <w:color w:val="000000"/>
                <w:szCs w:val="24"/>
              </w:rPr>
              <w:t>646.7</w:t>
            </w:r>
          </w:p>
        </w:tc>
        <w:tc>
          <w:tcPr>
            <w:tcW w:w="605" w:type="pct"/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 w:rsidRPr="00AA6388">
              <w:rPr>
                <w:rFonts w:cs="Times New Roman"/>
                <w:color w:val="000000"/>
                <w:szCs w:val="24"/>
              </w:rPr>
              <w:t>14.8</w:t>
            </w:r>
          </w:p>
        </w:tc>
        <w:tc>
          <w:tcPr>
            <w:tcW w:w="603" w:type="pct"/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 w:rsidRPr="008B546A">
              <w:t>-1.75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8B546A">
              <w:t>0.11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</w:tr>
      <w:tr w:rsidR="009546D1" w:rsidRPr="008B546A" w:rsidTr="001D68B2">
        <w:trPr>
          <w:trHeight w:val="340"/>
          <w:jc w:val="center"/>
        </w:trPr>
        <w:tc>
          <w:tcPr>
            <w:tcW w:w="518" w:type="pct"/>
            <w:vAlign w:val="center"/>
          </w:tcPr>
          <w:p w:rsidR="009546D1" w:rsidRDefault="009546D1" w:rsidP="001D68B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603" w:type="pct"/>
            <w:vAlign w:val="center"/>
          </w:tcPr>
          <w:p w:rsidR="009546D1" w:rsidRPr="00152652" w:rsidRDefault="009546D1" w:rsidP="001D68B2">
            <w:pPr>
              <w:pStyle w:val="NoSpacing"/>
              <w:jc w:val="center"/>
            </w:pPr>
            <w:r w:rsidRPr="00152652">
              <w:rPr>
                <w:rFonts w:cs="Times New Roman"/>
                <w:color w:val="000000"/>
                <w:szCs w:val="24"/>
              </w:rPr>
              <w:t>650.8</w:t>
            </w:r>
          </w:p>
        </w:tc>
        <w:tc>
          <w:tcPr>
            <w:tcW w:w="605" w:type="pct"/>
            <w:vAlign w:val="center"/>
          </w:tcPr>
          <w:p w:rsidR="009546D1" w:rsidRDefault="009546D1" w:rsidP="001D68B2">
            <w:pPr>
              <w:pStyle w:val="NoSpacing"/>
              <w:jc w:val="center"/>
            </w:pPr>
            <w:r w:rsidRPr="00AA6388">
              <w:rPr>
                <w:rFonts w:cs="Times New Roman"/>
                <w:color w:val="000000"/>
                <w:szCs w:val="24"/>
              </w:rPr>
              <w:t>18.8</w:t>
            </w:r>
          </w:p>
        </w:tc>
        <w:tc>
          <w:tcPr>
            <w:tcW w:w="603" w:type="pct"/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>
              <w:t>-1.77</w:t>
            </w:r>
            <w:r>
              <w:rPr>
                <w:vertAlign w:val="superscript"/>
              </w:rPr>
              <w:t>c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8B546A">
              <w:t>0.11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8B546A">
              <w:t>M:0.</w:t>
            </w:r>
            <w:r>
              <w:t>03, S:0.00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</w:tr>
      <w:tr w:rsidR="009546D1" w:rsidRPr="008B546A" w:rsidTr="001D68B2">
        <w:trPr>
          <w:trHeight w:val="340"/>
          <w:jc w:val="center"/>
        </w:trPr>
        <w:tc>
          <w:tcPr>
            <w:tcW w:w="518" w:type="pct"/>
            <w:tcBorders>
              <w:bottom w:val="nil"/>
            </w:tcBorders>
            <w:vAlign w:val="center"/>
          </w:tcPr>
          <w:p w:rsidR="009546D1" w:rsidRDefault="009546D1" w:rsidP="001D68B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603" w:type="pct"/>
            <w:tcBorders>
              <w:bottom w:val="nil"/>
            </w:tcBorders>
            <w:vAlign w:val="center"/>
          </w:tcPr>
          <w:p w:rsidR="009546D1" w:rsidRPr="00152652" w:rsidRDefault="009546D1" w:rsidP="001D68B2">
            <w:pPr>
              <w:pStyle w:val="NoSpacing"/>
              <w:jc w:val="center"/>
            </w:pPr>
            <w:r w:rsidRPr="00152652">
              <w:rPr>
                <w:rFonts w:cs="Times New Roman"/>
                <w:color w:val="000000"/>
                <w:szCs w:val="24"/>
              </w:rPr>
              <w:t>662.7</w:t>
            </w:r>
          </w:p>
        </w:tc>
        <w:tc>
          <w:tcPr>
            <w:tcW w:w="605" w:type="pct"/>
            <w:tcBorders>
              <w:bottom w:val="nil"/>
            </w:tcBorders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 w:rsidRPr="00AA6388">
              <w:rPr>
                <w:rFonts w:cs="Times New Roman"/>
                <w:color w:val="000000"/>
                <w:szCs w:val="24"/>
              </w:rPr>
              <w:t>30.7</w:t>
            </w:r>
          </w:p>
        </w:tc>
        <w:tc>
          <w:tcPr>
            <w:tcW w:w="603" w:type="pct"/>
            <w:tcBorders>
              <w:bottom w:val="nil"/>
            </w:tcBorders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 w:rsidRPr="008B546A">
              <w:t>-1.36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  <w:tc>
          <w:tcPr>
            <w:tcW w:w="129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  <w:tc>
          <w:tcPr>
            <w:tcW w:w="7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</w:tr>
      <w:tr w:rsidR="009546D1" w:rsidRPr="008B546A" w:rsidTr="001D68B2">
        <w:trPr>
          <w:trHeight w:val="340"/>
          <w:jc w:val="center"/>
        </w:trPr>
        <w:tc>
          <w:tcPr>
            <w:tcW w:w="518" w:type="pct"/>
            <w:tcBorders>
              <w:top w:val="nil"/>
              <w:bottom w:val="single" w:sz="4" w:space="0" w:color="auto"/>
            </w:tcBorders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  <w:vAlign w:val="center"/>
          </w:tcPr>
          <w:p w:rsidR="009546D1" w:rsidRPr="00152652" w:rsidRDefault="009546D1" w:rsidP="001D68B2">
            <w:pPr>
              <w:pStyle w:val="NoSpacing"/>
              <w:jc w:val="center"/>
            </w:pPr>
            <w:r w:rsidRPr="00152652">
              <w:rPr>
                <w:rFonts w:cs="Times New Roman"/>
                <w:color w:val="000000"/>
                <w:szCs w:val="24"/>
              </w:rPr>
              <w:t>666.2</w:t>
            </w: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 w:rsidRPr="00AA6388">
              <w:rPr>
                <w:rFonts w:cs="Times New Roman"/>
                <w:color w:val="000000"/>
                <w:szCs w:val="24"/>
              </w:rPr>
              <w:t>34.3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  <w:vAlign w:val="center"/>
          </w:tcPr>
          <w:p w:rsidR="009546D1" w:rsidRPr="008B546A" w:rsidRDefault="009546D1" w:rsidP="001D68B2">
            <w:pPr>
              <w:pStyle w:val="NoSpacing"/>
              <w:jc w:val="center"/>
            </w:pPr>
            <w:r w:rsidRPr="008B546A">
              <w:t>-</w:t>
            </w:r>
            <w:r>
              <w:t>1.69</w:t>
            </w:r>
            <w:r>
              <w:rPr>
                <w:vertAlign w:val="superscript"/>
              </w:rPr>
              <w:t>c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  <w:tc>
          <w:tcPr>
            <w:tcW w:w="12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D1" w:rsidRPr="00220C24" w:rsidRDefault="009546D1" w:rsidP="001D68B2">
            <w:pPr>
              <w:pStyle w:val="NoSpacing"/>
              <w:jc w:val="center"/>
            </w:pPr>
            <w:r w:rsidRPr="008B546A">
              <w:t>M:0.</w:t>
            </w:r>
            <w:r>
              <w:t xml:space="preserve">44, </w:t>
            </w:r>
            <w:r w:rsidRPr="008B546A">
              <w:t>S:0.1</w:t>
            </w:r>
            <w:r>
              <w:t>7</w:t>
            </w:r>
          </w:p>
        </w:tc>
        <w:tc>
          <w:tcPr>
            <w:tcW w:w="7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D1" w:rsidRPr="00220C24" w:rsidRDefault="009546D1" w:rsidP="001D68B2">
            <w:pPr>
              <w:pStyle w:val="NoSpacing"/>
              <w:jc w:val="center"/>
            </w:pPr>
          </w:p>
        </w:tc>
      </w:tr>
      <w:tr w:rsidR="009546D1" w:rsidRPr="008B546A" w:rsidTr="001D68B2">
        <w:trPr>
          <w:trHeight w:val="381"/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>
              <w:t>Rank</w:t>
            </w:r>
          </w:p>
        </w:tc>
        <w:tc>
          <w:tcPr>
            <w:tcW w:w="448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D1" w:rsidRPr="00220C24" w:rsidRDefault="009546D1" w:rsidP="001D68B2">
            <w:pPr>
              <w:pStyle w:val="NoSpacing"/>
            </w:pPr>
            <w:r>
              <w:t>Fitted intactness rate (%) [95% CI]</w:t>
            </w:r>
          </w:p>
        </w:tc>
      </w:tr>
      <w:tr w:rsidR="009546D1" w:rsidRPr="008B546A" w:rsidTr="001D68B2">
        <w:trPr>
          <w:trHeight w:val="405"/>
          <w:jc w:val="center"/>
        </w:trPr>
        <w:tc>
          <w:tcPr>
            <w:tcW w:w="518" w:type="pct"/>
            <w:tcBorders>
              <w:top w:val="single" w:sz="4" w:space="0" w:color="auto"/>
              <w:bottom w:val="nil"/>
            </w:tcBorders>
            <w:vAlign w:val="center"/>
          </w:tcPr>
          <w:p w:rsidR="009546D1" w:rsidRDefault="009546D1" w:rsidP="001D68B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482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546D1" w:rsidRPr="00220C24" w:rsidRDefault="009546D1" w:rsidP="001D68B2">
            <w:pPr>
              <w:pStyle w:val="NoSpacing"/>
              <w:jc w:val="center"/>
            </w:pPr>
            <w:r w:rsidRPr="00152652">
              <w:rPr>
                <w:rFonts w:cs="Times New Roman"/>
                <w:color w:val="000000"/>
                <w:szCs w:val="24"/>
              </w:rPr>
              <w:t>Base</w:t>
            </w:r>
            <w:r>
              <w:rPr>
                <w:rFonts w:cs="Times New Roman"/>
                <w:color w:val="000000"/>
                <w:szCs w:val="24"/>
              </w:rPr>
              <w:t>: 17</w:t>
            </w:r>
            <w:r w:rsidRPr="00152652">
              <w:rPr>
                <w:rFonts w:cs="Times New Roman"/>
                <w:color w:val="000000"/>
                <w:szCs w:val="24"/>
              </w:rPr>
              <w:t>% [</w:t>
            </w:r>
            <w:r>
              <w:rPr>
                <w:rFonts w:cs="Times New Roman"/>
                <w:color w:val="000000"/>
                <w:szCs w:val="24"/>
              </w:rPr>
              <w:t>10</w:t>
            </w:r>
            <w:r w:rsidRPr="00152652">
              <w:rPr>
                <w:rFonts w:cs="Times New Roman"/>
                <w:color w:val="000000"/>
                <w:szCs w:val="24"/>
              </w:rPr>
              <w:t>-</w:t>
            </w:r>
            <w:r>
              <w:rPr>
                <w:rFonts w:cs="Times New Roman"/>
                <w:color w:val="000000"/>
                <w:szCs w:val="24"/>
              </w:rPr>
              <w:t>25</w:t>
            </w:r>
            <w:r w:rsidRPr="00152652">
              <w:rPr>
                <w:rFonts w:cs="Times New Roman"/>
                <w:color w:val="000000"/>
                <w:szCs w:val="24"/>
              </w:rPr>
              <w:t>%]</w:t>
            </w:r>
            <w:r>
              <w:rPr>
                <w:rFonts w:cs="Times New Roman"/>
                <w:color w:val="000000"/>
                <w:szCs w:val="24"/>
              </w:rPr>
              <w:t>, Event</w:t>
            </w:r>
            <w:r w:rsidRPr="00152652">
              <w:rPr>
                <w:rFonts w:cs="Times New Roman"/>
                <w:color w:val="000000"/>
                <w:szCs w:val="24"/>
              </w:rPr>
              <w:t>: 74% [</w:t>
            </w:r>
            <w:r>
              <w:rPr>
                <w:rFonts w:cs="Times New Roman"/>
                <w:color w:val="000000"/>
                <w:szCs w:val="24"/>
              </w:rPr>
              <w:t>60-85</w:t>
            </w:r>
            <w:r w:rsidRPr="00152652">
              <w:rPr>
                <w:rFonts w:cs="Times New Roman"/>
                <w:color w:val="000000"/>
                <w:szCs w:val="24"/>
              </w:rPr>
              <w:t>%]</w:t>
            </w:r>
          </w:p>
        </w:tc>
      </w:tr>
      <w:tr w:rsidR="009546D1" w:rsidRPr="008B546A" w:rsidTr="001D68B2">
        <w:trPr>
          <w:trHeight w:val="567"/>
          <w:jc w:val="center"/>
        </w:trPr>
        <w:tc>
          <w:tcPr>
            <w:tcW w:w="518" w:type="pct"/>
            <w:tcBorders>
              <w:top w:val="nil"/>
              <w:bottom w:val="double" w:sz="4" w:space="0" w:color="auto"/>
            </w:tcBorders>
            <w:vAlign w:val="center"/>
          </w:tcPr>
          <w:p w:rsidR="009546D1" w:rsidRDefault="009546D1" w:rsidP="001D68B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482" w:type="pct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:rsidR="009546D1" w:rsidRDefault="009546D1" w:rsidP="001D68B2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Base (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Abun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. = 2): 17% [11-24%], Base (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Abun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. = 10): 20% [12-30%]</w:t>
            </w:r>
          </w:p>
          <w:p w:rsidR="009546D1" w:rsidRPr="00220C24" w:rsidRDefault="009546D1" w:rsidP="001D68B2">
            <w:pPr>
              <w:pStyle w:val="NoSpacing"/>
              <w:jc w:val="center"/>
            </w:pPr>
            <w:r>
              <w:rPr>
                <w:rFonts w:cs="Times New Roman"/>
                <w:color w:val="000000"/>
                <w:szCs w:val="24"/>
              </w:rPr>
              <w:t>Event (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Abun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. = 2): 66% [43-84%], Event (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Abun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. = 10): 71% [55-84%]</w:t>
            </w:r>
          </w:p>
        </w:tc>
      </w:tr>
    </w:tbl>
    <w:p w:rsidR="009546D1" w:rsidRPr="00270136" w:rsidRDefault="009546D1" w:rsidP="009546D1">
      <w:pPr>
        <w:pStyle w:val="NoSpacing"/>
        <w:rPr>
          <w:sz w:val="20"/>
          <w:szCs w:val="20"/>
        </w:rPr>
      </w:pPr>
      <w:r w:rsidRPr="00270136">
        <w:rPr>
          <w:sz w:val="20"/>
          <w:szCs w:val="20"/>
        </w:rPr>
        <w:t>Values represent model regression or factor coefficients (link scale) of predictors included in that model.</w:t>
      </w:r>
      <w:r>
        <w:rPr>
          <w:sz w:val="20"/>
          <w:szCs w:val="20"/>
        </w:rPr>
        <w:t xml:space="preserve"> Models are listed from lowest </w:t>
      </w:r>
      <w:proofErr w:type="spellStart"/>
      <w:r>
        <w:rPr>
          <w:sz w:val="20"/>
          <w:szCs w:val="20"/>
        </w:rPr>
        <w:t>AICc</w:t>
      </w:r>
      <w:proofErr w:type="spellEnd"/>
      <w:r>
        <w:rPr>
          <w:sz w:val="20"/>
          <w:szCs w:val="20"/>
        </w:rPr>
        <w:t xml:space="preserve"> to highest, and r</w:t>
      </w:r>
      <w:r w:rsidRPr="00270136">
        <w:rPr>
          <w:sz w:val="20"/>
          <w:szCs w:val="20"/>
        </w:rPr>
        <w:t xml:space="preserve">ows in bold </w:t>
      </w:r>
      <w:r>
        <w:rPr>
          <w:sz w:val="20"/>
          <w:szCs w:val="20"/>
        </w:rPr>
        <w:t>indicate</w:t>
      </w:r>
      <w:r w:rsidRPr="00270136">
        <w:rPr>
          <w:sz w:val="20"/>
          <w:szCs w:val="20"/>
        </w:rPr>
        <w:t xml:space="preserve"> models with </w:t>
      </w:r>
      <w:proofErr w:type="spellStart"/>
      <w:r w:rsidRPr="00270136">
        <w:rPr>
          <w:sz w:val="20"/>
          <w:szCs w:val="20"/>
        </w:rPr>
        <w:t>ΔAICc</w:t>
      </w:r>
      <w:proofErr w:type="spellEnd"/>
      <w:r>
        <w:rPr>
          <w:sz w:val="20"/>
          <w:szCs w:val="20"/>
        </w:rPr>
        <w:t xml:space="preserve"> &lt; 2. Fitted effects and their bootstrapped 95% confidence intervals are presented for models with </w:t>
      </w:r>
      <w:proofErr w:type="spellStart"/>
      <w:r w:rsidRPr="00270136">
        <w:rPr>
          <w:sz w:val="20"/>
          <w:szCs w:val="20"/>
        </w:rPr>
        <w:t>ΔAICc</w:t>
      </w:r>
      <w:proofErr w:type="spellEnd"/>
      <w:r>
        <w:rPr>
          <w:sz w:val="20"/>
          <w:szCs w:val="20"/>
        </w:rPr>
        <w:t xml:space="preserve"> &lt; 2.</w:t>
      </w:r>
    </w:p>
    <w:p w:rsidR="009546D1" w:rsidRPr="00270136" w:rsidRDefault="009546D1" w:rsidP="009546D1">
      <w:pPr>
        <w:pStyle w:val="NoSpacing"/>
        <w:rPr>
          <w:sz w:val="20"/>
          <w:szCs w:val="20"/>
        </w:rPr>
      </w:pPr>
      <w:proofErr w:type="gramStart"/>
      <w:r w:rsidRPr="00270136">
        <w:rPr>
          <w:sz w:val="20"/>
          <w:szCs w:val="20"/>
          <w:vertAlign w:val="superscript"/>
        </w:rPr>
        <w:t>a</w:t>
      </w:r>
      <w:proofErr w:type="gramEnd"/>
      <w:r w:rsidRPr="00270136">
        <w:rPr>
          <w:sz w:val="20"/>
          <w:szCs w:val="20"/>
          <w:vertAlign w:val="superscript"/>
        </w:rPr>
        <w:t xml:space="preserve"> </w:t>
      </w:r>
      <w:r w:rsidRPr="00270136">
        <w:rPr>
          <w:sz w:val="20"/>
          <w:szCs w:val="20"/>
        </w:rPr>
        <w:t xml:space="preserve">Time coefficients represent the difference between baseline birds and event birds, with the coefficient for event birds given as the intercept. </w:t>
      </w:r>
    </w:p>
    <w:p w:rsidR="009546D1" w:rsidRPr="00270136" w:rsidRDefault="009546D1" w:rsidP="009546D1">
      <w:pPr>
        <w:pStyle w:val="NoSpacing"/>
        <w:rPr>
          <w:sz w:val="20"/>
          <w:szCs w:val="20"/>
        </w:rPr>
      </w:pPr>
      <w:proofErr w:type="gramStart"/>
      <w:r w:rsidRPr="00270136">
        <w:rPr>
          <w:sz w:val="20"/>
          <w:szCs w:val="20"/>
          <w:vertAlign w:val="superscript"/>
        </w:rPr>
        <w:t>b</w:t>
      </w:r>
      <w:proofErr w:type="gramEnd"/>
      <w:r w:rsidRPr="00270136">
        <w:rPr>
          <w:sz w:val="20"/>
          <w:szCs w:val="20"/>
        </w:rPr>
        <w:t xml:space="preserve"> For models with time and size effects the intercept represents the estimated value for Size=Large and Time=Event birds, with size and time modifiers given in the corresponding columns.</w:t>
      </w:r>
    </w:p>
    <w:p w:rsidR="009546D1" w:rsidRDefault="009546D1" w:rsidP="009546D1">
      <w:pPr>
        <w:pStyle w:val="NoSpacing"/>
        <w:rPr>
          <w:sz w:val="20"/>
          <w:szCs w:val="20"/>
        </w:rPr>
      </w:pPr>
      <w:proofErr w:type="gramStart"/>
      <w:r w:rsidRPr="00270136">
        <w:rPr>
          <w:sz w:val="20"/>
          <w:szCs w:val="20"/>
          <w:vertAlign w:val="superscript"/>
        </w:rPr>
        <w:t>c</w:t>
      </w:r>
      <w:proofErr w:type="gramEnd"/>
      <w:r w:rsidRPr="00270136">
        <w:rPr>
          <w:sz w:val="20"/>
          <w:szCs w:val="20"/>
        </w:rPr>
        <w:t xml:space="preserve"> For models with size effects the intercept represents the coefficient for large birds, and the relative difference between large birds and medium/small birds given in the Size column.</w:t>
      </w:r>
    </w:p>
    <w:p w:rsidR="009546D1" w:rsidRPr="00270136" w:rsidRDefault="009546D1" w:rsidP="009546D1"/>
    <w:p w:rsidR="009546D1" w:rsidRDefault="009546D1" w:rsidP="002920CC">
      <w:pPr>
        <w:spacing w:line="276" w:lineRule="auto"/>
      </w:pPr>
      <w:r w:rsidRPr="009546D1">
        <w:t xml:space="preserve">Ford RG. Using beached bird monitoring data for seabird damage assessment: the importance of search interval. Mar </w:t>
      </w:r>
      <w:proofErr w:type="spellStart"/>
      <w:r w:rsidRPr="009546D1">
        <w:t>Ornithol</w:t>
      </w:r>
      <w:proofErr w:type="spellEnd"/>
      <w:r w:rsidRPr="009546D1">
        <w:t>. 20</w:t>
      </w:r>
      <w:bookmarkStart w:id="0" w:name="_GoBack"/>
      <w:bookmarkEnd w:id="0"/>
      <w:r w:rsidRPr="009546D1">
        <w:t>06; 34: 91-8.</w:t>
      </w:r>
    </w:p>
    <w:sectPr w:rsidR="00954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E"/>
    <w:rsid w:val="002920CC"/>
    <w:rsid w:val="003E4911"/>
    <w:rsid w:val="00544816"/>
    <w:rsid w:val="00885B7B"/>
    <w:rsid w:val="009546D1"/>
    <w:rsid w:val="00A65007"/>
    <w:rsid w:val="00B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67CA4-4904-4A5D-B2C5-35B3F80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D1"/>
    <w:pPr>
      <w:spacing w:line="48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6D1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6D1"/>
    <w:rPr>
      <w:rFonts w:ascii="Times New Roman" w:eastAsiaTheme="majorEastAsia" w:hAnsi="Times New Roman" w:cstheme="majorBidi"/>
      <w:b/>
      <w:sz w:val="32"/>
      <w:szCs w:val="26"/>
    </w:rPr>
  </w:style>
  <w:style w:type="paragraph" w:styleId="NoSpacing">
    <w:name w:val="No Spacing"/>
    <w:uiPriority w:val="1"/>
    <w:qFormat/>
    <w:rsid w:val="009546D1"/>
    <w:pPr>
      <w:spacing w:after="8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Jones</dc:creator>
  <cp:keywords/>
  <dc:description/>
  <cp:lastModifiedBy>Timothy Jones</cp:lastModifiedBy>
  <cp:revision>5</cp:revision>
  <dcterms:created xsi:type="dcterms:W3CDTF">2019-02-27T01:56:00Z</dcterms:created>
  <dcterms:modified xsi:type="dcterms:W3CDTF">2019-02-27T18:41:00Z</dcterms:modified>
</cp:coreProperties>
</file>