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C1D03" w14:textId="77777777" w:rsidR="00A40AAA" w:rsidRPr="00A40AAA" w:rsidRDefault="00A40AAA" w:rsidP="00A40AAA">
      <w:pPr>
        <w:rPr>
          <w:rFonts w:ascii="Arial" w:hAnsi="Arial" w:cs="Arial"/>
          <w:b/>
          <w:sz w:val="24"/>
          <w:szCs w:val="24"/>
        </w:rPr>
      </w:pPr>
      <w:r w:rsidRPr="00A40AAA">
        <w:rPr>
          <w:rFonts w:ascii="Arial" w:hAnsi="Arial" w:cs="Arial"/>
          <w:b/>
          <w:sz w:val="24"/>
          <w:szCs w:val="24"/>
        </w:rPr>
        <w:t>Supplemental Methods</w:t>
      </w:r>
    </w:p>
    <w:p w14:paraId="595A95F8" w14:textId="77777777" w:rsidR="00A40AAA" w:rsidRPr="00A40AAA" w:rsidRDefault="00A40AAA" w:rsidP="00A40AAA">
      <w:pPr>
        <w:rPr>
          <w:rFonts w:ascii="Arial" w:hAnsi="Arial" w:cs="Arial"/>
          <w:i/>
          <w:sz w:val="24"/>
          <w:szCs w:val="24"/>
        </w:rPr>
      </w:pPr>
      <w:r w:rsidRPr="00A40AAA">
        <w:rPr>
          <w:rFonts w:ascii="Arial" w:hAnsi="Arial" w:cs="Arial"/>
          <w:i/>
          <w:sz w:val="24"/>
          <w:szCs w:val="24"/>
        </w:rPr>
        <w:t>Sequencing data processing and OTU analysis</w:t>
      </w:r>
    </w:p>
    <w:p w14:paraId="4F142109" w14:textId="77777777" w:rsidR="00A40AAA" w:rsidRPr="00A40AAA" w:rsidRDefault="00A40AAA" w:rsidP="00A40AAA">
      <w:pPr>
        <w:rPr>
          <w:rFonts w:ascii="Arial" w:hAnsi="Arial" w:cs="Arial"/>
          <w:sz w:val="24"/>
          <w:szCs w:val="24"/>
        </w:rPr>
      </w:pPr>
      <w:r w:rsidRPr="00A40AAA">
        <w:rPr>
          <w:rFonts w:ascii="Arial" w:hAnsi="Arial" w:cs="Arial"/>
          <w:sz w:val="24"/>
          <w:szCs w:val="24"/>
        </w:rPr>
        <w:t xml:space="preserve">Forward and reverse read FASTQ files were merged and the estimated error per read was determined using the </w:t>
      </w:r>
      <w:proofErr w:type="spellStart"/>
      <w:r w:rsidRPr="00A40AAA">
        <w:rPr>
          <w:rFonts w:ascii="Arial" w:hAnsi="Arial" w:cs="Arial"/>
          <w:sz w:val="24"/>
          <w:szCs w:val="24"/>
        </w:rPr>
        <w:t>usearch</w:t>
      </w:r>
      <w:proofErr w:type="spellEnd"/>
      <w:r w:rsidRPr="00A40AAA">
        <w:rPr>
          <w:rFonts w:ascii="Arial" w:hAnsi="Arial" w:cs="Arial"/>
          <w:sz w:val="24"/>
          <w:szCs w:val="24"/>
        </w:rPr>
        <w:t xml:space="preserve"> (version 8) command –</w:t>
      </w:r>
      <w:proofErr w:type="spellStart"/>
      <w:r w:rsidRPr="00A40AAA">
        <w:rPr>
          <w:rFonts w:ascii="Arial" w:hAnsi="Arial" w:cs="Arial"/>
          <w:sz w:val="24"/>
          <w:szCs w:val="24"/>
        </w:rPr>
        <w:t>fastq_mergepairs</w:t>
      </w:r>
      <w:proofErr w:type="spellEnd"/>
      <w:r w:rsidRPr="00A40AAA">
        <w:rPr>
          <w:rFonts w:ascii="Arial" w:hAnsi="Arial" w:cs="Arial"/>
          <w:sz w:val="24"/>
          <w:szCs w:val="24"/>
        </w:rPr>
        <w:t xml:space="preserve"> with </w:t>
      </w:r>
      <w:proofErr w:type="gramStart"/>
      <w:r w:rsidRPr="00A40AAA">
        <w:rPr>
          <w:rFonts w:ascii="Arial" w:hAnsi="Arial" w:cs="Arial"/>
          <w:sz w:val="24"/>
          <w:szCs w:val="24"/>
        </w:rPr>
        <w:t>options  -</w:t>
      </w:r>
      <w:proofErr w:type="spellStart"/>
      <w:proofErr w:type="gramEnd"/>
      <w:r w:rsidRPr="00A40AAA">
        <w:rPr>
          <w:rFonts w:ascii="Arial" w:hAnsi="Arial" w:cs="Arial"/>
          <w:sz w:val="24"/>
          <w:szCs w:val="24"/>
        </w:rPr>
        <w:t>eetabbeout</w:t>
      </w:r>
      <w:proofErr w:type="spellEnd"/>
      <w:r w:rsidRPr="00A40AAA">
        <w:rPr>
          <w:rFonts w:ascii="Arial" w:hAnsi="Arial" w:cs="Arial"/>
          <w:sz w:val="24"/>
          <w:szCs w:val="24"/>
        </w:rPr>
        <w:t>, –</w:t>
      </w:r>
      <w:proofErr w:type="spellStart"/>
      <w:r w:rsidRPr="00A40AAA">
        <w:rPr>
          <w:rFonts w:ascii="Arial" w:hAnsi="Arial" w:cs="Arial"/>
          <w:sz w:val="24"/>
          <w:szCs w:val="24"/>
        </w:rPr>
        <w:t>fastq_ascii</w:t>
      </w:r>
      <w:proofErr w:type="spellEnd"/>
      <w:r w:rsidRPr="00A40AAA">
        <w:rPr>
          <w:rFonts w:ascii="Arial" w:hAnsi="Arial" w:cs="Arial"/>
          <w:sz w:val="24"/>
          <w:szCs w:val="24"/>
        </w:rPr>
        <w:t xml:space="preserve"> 33 (Edgar, 2010). Merged reads were then filtered for an estimated error rate of 1 using the usearch8 command –</w:t>
      </w:r>
      <w:proofErr w:type="spellStart"/>
      <w:r w:rsidRPr="00A40AAA">
        <w:rPr>
          <w:rFonts w:ascii="Arial" w:hAnsi="Arial" w:cs="Arial"/>
          <w:sz w:val="24"/>
          <w:szCs w:val="24"/>
        </w:rPr>
        <w:t>fastq_filter</w:t>
      </w:r>
      <w:proofErr w:type="spellEnd"/>
      <w:r w:rsidRPr="00A40AAA">
        <w:rPr>
          <w:rFonts w:ascii="Arial" w:hAnsi="Arial" w:cs="Arial"/>
          <w:sz w:val="24"/>
          <w:szCs w:val="24"/>
        </w:rPr>
        <w:t xml:space="preserve"> (–</w:t>
      </w:r>
      <w:proofErr w:type="spellStart"/>
      <w:r w:rsidRPr="00A40AAA">
        <w:rPr>
          <w:rFonts w:ascii="Arial" w:hAnsi="Arial" w:cs="Arial"/>
          <w:sz w:val="24"/>
          <w:szCs w:val="24"/>
        </w:rPr>
        <w:t>fastq_maxee</w:t>
      </w:r>
      <w:proofErr w:type="spellEnd"/>
      <w:r w:rsidRPr="00A40AAA">
        <w:rPr>
          <w:rFonts w:ascii="Arial" w:hAnsi="Arial" w:cs="Arial"/>
          <w:sz w:val="24"/>
          <w:szCs w:val="24"/>
        </w:rPr>
        <w:t xml:space="preserve"> 1).  </w:t>
      </w:r>
    </w:p>
    <w:p w14:paraId="53E57312" w14:textId="5AC61971" w:rsidR="00A40AAA" w:rsidRDefault="00A40AAA" w:rsidP="00A40AAA">
      <w:pPr>
        <w:rPr>
          <w:rFonts w:ascii="Arial" w:hAnsi="Arial" w:cs="Arial"/>
          <w:sz w:val="24"/>
          <w:szCs w:val="24"/>
        </w:rPr>
      </w:pPr>
      <w:r w:rsidRPr="00A40AAA">
        <w:rPr>
          <w:rFonts w:ascii="Arial" w:hAnsi="Arial" w:cs="Arial"/>
          <w:sz w:val="24"/>
          <w:szCs w:val="24"/>
        </w:rPr>
        <w:t xml:space="preserve">Further processing and clustering Operational </w:t>
      </w:r>
      <w:proofErr w:type="spellStart"/>
      <w:r w:rsidRPr="00A40AAA">
        <w:rPr>
          <w:rFonts w:ascii="Arial" w:hAnsi="Arial" w:cs="Arial"/>
          <w:sz w:val="24"/>
          <w:szCs w:val="24"/>
        </w:rPr>
        <w:t>Taxanomic</w:t>
      </w:r>
      <w:proofErr w:type="spellEnd"/>
      <w:r w:rsidRPr="00A40AAA">
        <w:rPr>
          <w:rFonts w:ascii="Arial" w:hAnsi="Arial" w:cs="Arial"/>
          <w:sz w:val="24"/>
          <w:szCs w:val="24"/>
        </w:rPr>
        <w:t xml:space="preserve"> Units (OTUs) was performed with an inhouse pipeline </w:t>
      </w:r>
      <w:proofErr w:type="gramStart"/>
      <w:r w:rsidRPr="00A40AAA">
        <w:rPr>
          <w:rFonts w:ascii="Arial" w:hAnsi="Arial" w:cs="Arial"/>
          <w:sz w:val="24"/>
          <w:szCs w:val="24"/>
        </w:rPr>
        <w:t>( https://github.com/thomasgurry/amplicon_sequencing_pipeline</w:t>
      </w:r>
      <w:proofErr w:type="gramEnd"/>
      <w:r w:rsidRPr="00A40AAA">
        <w:rPr>
          <w:rFonts w:ascii="Arial" w:hAnsi="Arial" w:cs="Arial"/>
          <w:sz w:val="24"/>
          <w:szCs w:val="24"/>
        </w:rPr>
        <w:t xml:space="preserve">).  Within the pipeline, sequences of less than 250 bases were filtered out, 97% </w:t>
      </w:r>
      <w:proofErr w:type="spellStart"/>
      <w:r w:rsidRPr="00A40AAA">
        <w:rPr>
          <w:rFonts w:ascii="Arial" w:hAnsi="Arial" w:cs="Arial"/>
          <w:sz w:val="24"/>
          <w:szCs w:val="24"/>
        </w:rPr>
        <w:t>denovo</w:t>
      </w:r>
      <w:proofErr w:type="spellEnd"/>
      <w:r w:rsidRPr="00A40AAA">
        <w:rPr>
          <w:rFonts w:ascii="Arial" w:hAnsi="Arial" w:cs="Arial"/>
          <w:sz w:val="24"/>
          <w:szCs w:val="24"/>
        </w:rPr>
        <w:t xml:space="preserve"> OTUs were clustered using the UPARSE algorithm (Edgar, 2013) in usearch8 (Edgar, 2010), and OTUs with less than two reads were removed. </w:t>
      </w:r>
    </w:p>
    <w:p w14:paraId="7CCAEB26" w14:textId="2161DBBD" w:rsidR="000102D9" w:rsidRPr="00A40AAA" w:rsidRDefault="000102D9" w:rsidP="00A40AAA">
      <w:pPr>
        <w:rPr>
          <w:rFonts w:ascii="Arial" w:hAnsi="Arial" w:cs="Arial"/>
          <w:sz w:val="24"/>
          <w:szCs w:val="24"/>
        </w:rPr>
      </w:pPr>
      <w:r>
        <w:rPr>
          <w:rFonts w:ascii="Arial" w:hAnsi="Arial" w:cs="Arial"/>
          <w:sz w:val="24"/>
          <w:szCs w:val="24"/>
        </w:rPr>
        <w:t xml:space="preserve">All custom python scripts were written using Python version 3.5.2 and can be located on </w:t>
      </w:r>
      <w:proofErr w:type="spellStart"/>
      <w:r>
        <w:rPr>
          <w:rFonts w:ascii="Arial" w:hAnsi="Arial" w:cs="Arial"/>
          <w:sz w:val="24"/>
          <w:szCs w:val="24"/>
        </w:rPr>
        <w:t>github</w:t>
      </w:r>
      <w:proofErr w:type="spellEnd"/>
      <w:r>
        <w:rPr>
          <w:rFonts w:ascii="Arial" w:hAnsi="Arial" w:cs="Arial"/>
          <w:sz w:val="24"/>
          <w:szCs w:val="24"/>
        </w:rPr>
        <w:t xml:space="preserve"> (</w:t>
      </w:r>
      <w:r w:rsidRPr="000102D9">
        <w:rPr>
          <w:rFonts w:ascii="Arial" w:hAnsi="Arial" w:cs="Arial"/>
          <w:sz w:val="24"/>
          <w:szCs w:val="24"/>
        </w:rPr>
        <w:t>https://github.com/arperrotta/public_code</w:t>
      </w:r>
      <w:r>
        <w:rPr>
          <w:rFonts w:ascii="Arial" w:hAnsi="Arial" w:cs="Arial"/>
          <w:sz w:val="24"/>
          <w:szCs w:val="24"/>
        </w:rPr>
        <w:t>).</w:t>
      </w:r>
    </w:p>
    <w:p w14:paraId="69289AE9" w14:textId="77777777" w:rsidR="00A40AAA" w:rsidRPr="00A40AAA" w:rsidRDefault="00A40AAA" w:rsidP="00A40AAA">
      <w:pPr>
        <w:rPr>
          <w:rFonts w:ascii="Arial" w:hAnsi="Arial" w:cs="Arial"/>
          <w:sz w:val="24"/>
          <w:szCs w:val="24"/>
        </w:rPr>
      </w:pPr>
      <w:r w:rsidRPr="00A40AAA">
        <w:rPr>
          <w:rFonts w:ascii="Arial" w:hAnsi="Arial" w:cs="Arial"/>
          <w:sz w:val="24"/>
          <w:szCs w:val="24"/>
        </w:rPr>
        <w:t>After initial processing a total of 11,036,040 sequence reads were generated with an average of 91,967 reads per sample (±112,735, n=120).</w:t>
      </w:r>
      <w:bookmarkStart w:id="0" w:name="_GoBack"/>
      <w:bookmarkEnd w:id="0"/>
    </w:p>
    <w:p w14:paraId="1E26F8B0" w14:textId="77777777" w:rsidR="00A40AAA" w:rsidRPr="00A40AAA" w:rsidRDefault="00A40AAA" w:rsidP="00A40AAA">
      <w:pPr>
        <w:rPr>
          <w:rFonts w:ascii="Arial" w:hAnsi="Arial" w:cs="Arial"/>
          <w:sz w:val="24"/>
          <w:szCs w:val="24"/>
        </w:rPr>
      </w:pPr>
      <w:r w:rsidRPr="00A40AAA">
        <w:rPr>
          <w:rFonts w:ascii="Arial" w:hAnsi="Arial" w:cs="Arial"/>
          <w:sz w:val="24"/>
          <w:szCs w:val="24"/>
        </w:rPr>
        <w:t xml:space="preserve">Shannon diversity was calculated using the command alpha_diversity.py with the metric option set to Shannon Diversity (-m </w:t>
      </w:r>
      <w:proofErr w:type="spellStart"/>
      <w:r w:rsidRPr="00A40AAA">
        <w:rPr>
          <w:rFonts w:ascii="Arial" w:hAnsi="Arial" w:cs="Arial"/>
          <w:sz w:val="24"/>
          <w:szCs w:val="24"/>
        </w:rPr>
        <w:t>shannon</w:t>
      </w:r>
      <w:proofErr w:type="spellEnd"/>
      <w:r w:rsidRPr="00A40AAA">
        <w:rPr>
          <w:rFonts w:ascii="Arial" w:hAnsi="Arial" w:cs="Arial"/>
          <w:sz w:val="24"/>
          <w:szCs w:val="24"/>
        </w:rPr>
        <w:t>) (</w:t>
      </w:r>
      <w:proofErr w:type="spellStart"/>
      <w:r w:rsidRPr="00A40AAA">
        <w:rPr>
          <w:rFonts w:ascii="Arial" w:hAnsi="Arial" w:cs="Arial"/>
          <w:sz w:val="24"/>
          <w:szCs w:val="24"/>
        </w:rPr>
        <w:t>Caporaso</w:t>
      </w:r>
      <w:proofErr w:type="spellEnd"/>
      <w:r w:rsidRPr="00A40AAA">
        <w:rPr>
          <w:rFonts w:ascii="Arial" w:hAnsi="Arial" w:cs="Arial"/>
          <w:sz w:val="24"/>
          <w:szCs w:val="24"/>
        </w:rPr>
        <w:t xml:space="preserve">, Kuczynski, et al. 2010).  The Jensen-Shannon divergence was calculated using the </w:t>
      </w:r>
      <w:proofErr w:type="spellStart"/>
      <w:r w:rsidRPr="00A40AAA">
        <w:rPr>
          <w:rFonts w:ascii="Arial" w:hAnsi="Arial" w:cs="Arial"/>
          <w:sz w:val="24"/>
          <w:szCs w:val="24"/>
        </w:rPr>
        <w:t>dist_mat</w:t>
      </w:r>
      <w:proofErr w:type="spellEnd"/>
      <w:r w:rsidRPr="00A40AAA">
        <w:rPr>
          <w:rFonts w:ascii="Arial" w:hAnsi="Arial" w:cs="Arial"/>
          <w:sz w:val="24"/>
          <w:szCs w:val="24"/>
        </w:rPr>
        <w:t xml:space="preserve"> (metric=’JS’) command in </w:t>
      </w:r>
      <w:proofErr w:type="spellStart"/>
      <w:r w:rsidRPr="00A40AAA">
        <w:rPr>
          <w:rFonts w:ascii="Arial" w:hAnsi="Arial" w:cs="Arial"/>
          <w:sz w:val="24"/>
          <w:szCs w:val="24"/>
        </w:rPr>
        <w:t>pysurvey</w:t>
      </w:r>
      <w:proofErr w:type="spellEnd"/>
      <w:r w:rsidRPr="00A40AAA">
        <w:rPr>
          <w:rFonts w:ascii="Arial" w:hAnsi="Arial" w:cs="Arial"/>
          <w:sz w:val="24"/>
          <w:szCs w:val="24"/>
        </w:rPr>
        <w:t xml:space="preserve"> (https://bitbucket.org/yonatanf/pysurvey, https://github.com/swo/pysurvey). </w:t>
      </w:r>
    </w:p>
    <w:p w14:paraId="4FEEB929" w14:textId="77777777" w:rsidR="00A40AAA" w:rsidRPr="00A40AAA" w:rsidRDefault="00A40AAA" w:rsidP="00A40AAA">
      <w:pPr>
        <w:rPr>
          <w:rFonts w:ascii="Arial" w:hAnsi="Arial" w:cs="Arial"/>
          <w:i/>
          <w:sz w:val="24"/>
          <w:szCs w:val="24"/>
        </w:rPr>
      </w:pPr>
      <w:r w:rsidRPr="00A40AAA">
        <w:rPr>
          <w:rFonts w:ascii="Arial" w:hAnsi="Arial" w:cs="Arial"/>
          <w:i/>
          <w:sz w:val="24"/>
          <w:szCs w:val="24"/>
        </w:rPr>
        <w:t>Identification of predictive features in the microbiome</w:t>
      </w:r>
    </w:p>
    <w:p w14:paraId="3F37D71A" w14:textId="77777777" w:rsidR="00A40AAA" w:rsidRPr="00A40AAA" w:rsidRDefault="00A40AAA" w:rsidP="00A40AAA">
      <w:pPr>
        <w:rPr>
          <w:rFonts w:ascii="Arial" w:hAnsi="Arial" w:cs="Arial"/>
          <w:sz w:val="24"/>
          <w:szCs w:val="24"/>
        </w:rPr>
      </w:pPr>
      <w:r w:rsidRPr="00A40AAA">
        <w:rPr>
          <w:rFonts w:ascii="Arial" w:hAnsi="Arial" w:cs="Arial"/>
          <w:sz w:val="24"/>
          <w:szCs w:val="24"/>
        </w:rPr>
        <w:t>All OTU abundance data were analyzed with a log transformation on the OTU abundances by including the parameter --</w:t>
      </w:r>
      <w:proofErr w:type="spellStart"/>
      <w:r w:rsidRPr="00A40AAA">
        <w:rPr>
          <w:rFonts w:ascii="Arial" w:hAnsi="Arial" w:cs="Arial"/>
          <w:sz w:val="24"/>
          <w:szCs w:val="24"/>
        </w:rPr>
        <w:t>x_log</w:t>
      </w:r>
      <w:proofErr w:type="spellEnd"/>
      <w:r w:rsidRPr="00A40AAA">
        <w:rPr>
          <w:rFonts w:ascii="Arial" w:hAnsi="Arial" w:cs="Arial"/>
          <w:sz w:val="24"/>
          <w:szCs w:val="24"/>
        </w:rPr>
        <w:t xml:space="preserve">. All metadata categories were analyzed without transformation. The analysis was run using three forests by including the parameter -n 3. The data was shuffled 100 times for p-value calculations by including the parameter -s 100. Class balancing was performed via </w:t>
      </w:r>
      <w:proofErr w:type="spellStart"/>
      <w:r w:rsidRPr="00A40AAA">
        <w:rPr>
          <w:rFonts w:ascii="Arial" w:hAnsi="Arial" w:cs="Arial"/>
          <w:sz w:val="24"/>
          <w:szCs w:val="24"/>
        </w:rPr>
        <w:t>downsampling</w:t>
      </w:r>
      <w:proofErr w:type="spellEnd"/>
      <w:r w:rsidRPr="00A40AAA">
        <w:rPr>
          <w:rFonts w:ascii="Arial" w:hAnsi="Arial" w:cs="Arial"/>
          <w:sz w:val="24"/>
          <w:szCs w:val="24"/>
        </w:rPr>
        <w:t xml:space="preserve"> using the parameter –b </w:t>
      </w:r>
      <w:proofErr w:type="spellStart"/>
      <w:r w:rsidRPr="00A40AAA">
        <w:rPr>
          <w:rFonts w:ascii="Arial" w:hAnsi="Arial" w:cs="Arial"/>
          <w:sz w:val="24"/>
          <w:szCs w:val="24"/>
        </w:rPr>
        <w:t>downsample</w:t>
      </w:r>
      <w:proofErr w:type="spellEnd"/>
      <w:r w:rsidRPr="00A40AAA">
        <w:rPr>
          <w:rFonts w:ascii="Arial" w:hAnsi="Arial" w:cs="Arial"/>
          <w:sz w:val="24"/>
          <w:szCs w:val="24"/>
        </w:rPr>
        <w:t>. All other parameters were default.</w:t>
      </w:r>
    </w:p>
    <w:p w14:paraId="31D3DB67" w14:textId="77777777" w:rsidR="00A40AAA" w:rsidRPr="00A40AAA" w:rsidRDefault="00A40AAA" w:rsidP="00A40AAA">
      <w:pPr>
        <w:rPr>
          <w:rFonts w:ascii="Arial" w:hAnsi="Arial" w:cs="Arial"/>
          <w:i/>
          <w:sz w:val="24"/>
          <w:szCs w:val="24"/>
        </w:rPr>
      </w:pPr>
      <w:r w:rsidRPr="00A40AAA">
        <w:rPr>
          <w:rFonts w:ascii="Arial" w:hAnsi="Arial" w:cs="Arial"/>
          <w:i/>
          <w:sz w:val="24"/>
          <w:szCs w:val="24"/>
        </w:rPr>
        <w:t xml:space="preserve">Description of tools and parameters utilized to generate phylogenetic trees. </w:t>
      </w:r>
    </w:p>
    <w:p w14:paraId="51750B01" w14:textId="77777777" w:rsidR="00A40AAA" w:rsidRPr="00A40AAA" w:rsidRDefault="0F5B9073" w:rsidP="0F5B9073">
      <w:pPr>
        <w:rPr>
          <w:rFonts w:ascii="Arial" w:hAnsi="Arial" w:cs="Arial"/>
          <w:sz w:val="24"/>
          <w:szCs w:val="24"/>
        </w:rPr>
      </w:pPr>
      <w:r w:rsidRPr="0F5B9073">
        <w:rPr>
          <w:rFonts w:ascii="Arial" w:hAnsi="Arial" w:cs="Arial"/>
          <w:sz w:val="24"/>
          <w:szCs w:val="24"/>
        </w:rPr>
        <w:t xml:space="preserve">Aligned sequences used for tree building were trimmed of gaps using </w:t>
      </w:r>
      <w:proofErr w:type="spellStart"/>
      <w:r w:rsidRPr="0F5B9073">
        <w:rPr>
          <w:rFonts w:ascii="Arial" w:hAnsi="Arial" w:cs="Arial"/>
          <w:sz w:val="24"/>
          <w:szCs w:val="24"/>
        </w:rPr>
        <w:t>trimAL</w:t>
      </w:r>
      <w:proofErr w:type="spellEnd"/>
      <w:r w:rsidRPr="0F5B9073">
        <w:rPr>
          <w:rFonts w:ascii="Arial" w:hAnsi="Arial" w:cs="Arial"/>
          <w:sz w:val="24"/>
          <w:szCs w:val="24"/>
        </w:rPr>
        <w:t xml:space="preserve"> (version 1.2) with a gap threshold of 0.05 so gaps present in 95% or more of the sequences would be removed (-</w:t>
      </w:r>
      <w:proofErr w:type="spellStart"/>
      <w:r w:rsidRPr="0F5B9073">
        <w:rPr>
          <w:rFonts w:ascii="Arial" w:hAnsi="Arial" w:cs="Arial"/>
          <w:sz w:val="24"/>
          <w:szCs w:val="24"/>
        </w:rPr>
        <w:t>gt</w:t>
      </w:r>
      <w:proofErr w:type="spellEnd"/>
      <w:r w:rsidRPr="0F5B9073">
        <w:rPr>
          <w:rFonts w:ascii="Arial" w:hAnsi="Arial" w:cs="Arial"/>
          <w:sz w:val="24"/>
          <w:szCs w:val="24"/>
        </w:rPr>
        <w:t xml:space="preserve"> </w:t>
      </w:r>
      <w:proofErr w:type="gramStart"/>
      <w:r w:rsidRPr="0F5B9073">
        <w:rPr>
          <w:rFonts w:ascii="Arial" w:hAnsi="Arial" w:cs="Arial"/>
          <w:sz w:val="24"/>
          <w:szCs w:val="24"/>
        </w:rPr>
        <w:t>0.05)(</w:t>
      </w:r>
      <w:proofErr w:type="gramEnd"/>
      <w:r w:rsidRPr="0F5B9073">
        <w:rPr>
          <w:rFonts w:ascii="Arial" w:hAnsi="Arial" w:cs="Arial"/>
          <w:sz w:val="24"/>
          <w:szCs w:val="24"/>
        </w:rPr>
        <w:t xml:space="preserve">Capella-Gutiérrez, Silla-Martínez, and </w:t>
      </w:r>
      <w:proofErr w:type="spellStart"/>
      <w:r w:rsidRPr="0F5B9073">
        <w:rPr>
          <w:rFonts w:ascii="Arial" w:hAnsi="Arial" w:cs="Arial"/>
          <w:sz w:val="24"/>
          <w:szCs w:val="24"/>
        </w:rPr>
        <w:t>Gabaldón</w:t>
      </w:r>
      <w:proofErr w:type="spellEnd"/>
      <w:r w:rsidRPr="0F5B9073">
        <w:rPr>
          <w:rFonts w:ascii="Arial" w:hAnsi="Arial" w:cs="Arial"/>
          <w:sz w:val="24"/>
          <w:szCs w:val="24"/>
        </w:rPr>
        <w:t xml:space="preserve"> 2009). </w:t>
      </w:r>
      <w:proofErr w:type="spellStart"/>
      <w:r w:rsidRPr="0F5B9073">
        <w:rPr>
          <w:rFonts w:ascii="Arial" w:hAnsi="Arial" w:cs="Arial"/>
          <w:sz w:val="24"/>
          <w:szCs w:val="24"/>
        </w:rPr>
        <w:t>FastTree</w:t>
      </w:r>
      <w:proofErr w:type="spellEnd"/>
      <w:r w:rsidRPr="0F5B9073">
        <w:rPr>
          <w:rFonts w:ascii="Arial" w:hAnsi="Arial" w:cs="Arial"/>
          <w:sz w:val="24"/>
          <w:szCs w:val="24"/>
        </w:rPr>
        <w:t xml:space="preserve"> (Price, Dehal, and Arkin 2009) was then used to build a phylogenetic tree from the trimmed sequences using nucleotide alignment (-</w:t>
      </w:r>
      <w:proofErr w:type="spellStart"/>
      <w:r w:rsidRPr="0F5B9073">
        <w:rPr>
          <w:rFonts w:ascii="Arial" w:hAnsi="Arial" w:cs="Arial"/>
          <w:sz w:val="24"/>
          <w:szCs w:val="24"/>
        </w:rPr>
        <w:t>nt</w:t>
      </w:r>
      <w:proofErr w:type="spellEnd"/>
      <w:r w:rsidRPr="0F5B9073">
        <w:rPr>
          <w:rFonts w:ascii="Arial" w:hAnsi="Arial" w:cs="Arial"/>
          <w:sz w:val="24"/>
          <w:szCs w:val="24"/>
        </w:rPr>
        <w:t>), a GTR+CAT model (-</w:t>
      </w:r>
      <w:proofErr w:type="spellStart"/>
      <w:r w:rsidRPr="0F5B9073">
        <w:rPr>
          <w:rFonts w:ascii="Arial" w:hAnsi="Arial" w:cs="Arial"/>
          <w:sz w:val="24"/>
          <w:szCs w:val="24"/>
        </w:rPr>
        <w:t>gtr</w:t>
      </w:r>
      <w:proofErr w:type="spellEnd"/>
      <w:r w:rsidRPr="0F5B9073">
        <w:rPr>
          <w:rFonts w:ascii="Arial" w:hAnsi="Arial" w:cs="Arial"/>
          <w:sz w:val="24"/>
          <w:szCs w:val="24"/>
        </w:rPr>
        <w:t xml:space="preserve">), and </w:t>
      </w:r>
      <w:r w:rsidRPr="0F5B9073">
        <w:rPr>
          <w:rFonts w:ascii="Arial" w:hAnsi="Arial" w:cs="Arial"/>
          <w:sz w:val="24"/>
          <w:szCs w:val="24"/>
        </w:rPr>
        <w:lastRenderedPageBreak/>
        <w:t>constraint file created from RDP classifications described above (-constraint). The constraint file was generated using custom a Python script (Python 3.5.2).</w:t>
      </w:r>
    </w:p>
    <w:p w14:paraId="7821EC0D" w14:textId="1FB566B7" w:rsidR="0F5B9073" w:rsidRDefault="0F5B9073" w:rsidP="0F5B9073">
      <w:pPr>
        <w:rPr>
          <w:rFonts w:ascii="Arial" w:hAnsi="Arial" w:cs="Arial"/>
          <w:sz w:val="24"/>
          <w:szCs w:val="24"/>
        </w:rPr>
      </w:pPr>
      <w:proofErr w:type="spellStart"/>
      <w:r w:rsidRPr="0F5B9073">
        <w:rPr>
          <w:rFonts w:ascii="Arial" w:hAnsi="Arial" w:cs="Arial"/>
          <w:sz w:val="24"/>
          <w:szCs w:val="24"/>
        </w:rPr>
        <w:t>LeFse</w:t>
      </w:r>
      <w:proofErr w:type="spellEnd"/>
      <w:r w:rsidRPr="0F5B9073">
        <w:rPr>
          <w:rFonts w:ascii="Arial" w:hAnsi="Arial" w:cs="Arial"/>
          <w:sz w:val="24"/>
          <w:szCs w:val="24"/>
        </w:rPr>
        <w:t xml:space="preserve"> </w:t>
      </w:r>
      <w:proofErr w:type="spellStart"/>
      <w:r w:rsidRPr="0F5B9073">
        <w:rPr>
          <w:rFonts w:ascii="Arial" w:hAnsi="Arial" w:cs="Arial"/>
          <w:sz w:val="24"/>
          <w:szCs w:val="24"/>
        </w:rPr>
        <w:t>analyisis</w:t>
      </w:r>
      <w:proofErr w:type="spellEnd"/>
    </w:p>
    <w:p w14:paraId="298F022C" w14:textId="48C7955C" w:rsidR="0F5B9073" w:rsidRDefault="0F5B9073" w:rsidP="0F5B9073">
      <w:pPr>
        <w:rPr>
          <w:rFonts w:ascii="Arial" w:eastAsia="Arial" w:hAnsi="Arial" w:cs="Arial"/>
          <w:sz w:val="24"/>
          <w:szCs w:val="24"/>
        </w:rPr>
      </w:pPr>
      <w:r w:rsidRPr="0F5B9073">
        <w:rPr>
          <w:rFonts w:ascii="Arial" w:eastAsia="Arial" w:hAnsi="Arial" w:cs="Arial"/>
          <w:sz w:val="24"/>
          <w:szCs w:val="24"/>
        </w:rPr>
        <w:t xml:space="preserve">The non-parametric factorial Kruskal-Wallis sum rank test was used to detect overabundant taxa in each class. The Wilcoxon rank-sum test was then used to determine if the overabundant taxa were consistent among microbiomes within a group. Finally, the Linear Discriminant Analysis (LDA) was used to estimate the effect size of each overabundant taxa (13). For each individual sample the relative abundance of each taxa assignments was included to construct the </w:t>
      </w:r>
      <w:proofErr w:type="spellStart"/>
      <w:r w:rsidRPr="0F5B9073">
        <w:rPr>
          <w:rFonts w:ascii="Arial" w:eastAsia="Arial" w:hAnsi="Arial" w:cs="Arial"/>
          <w:sz w:val="24"/>
          <w:szCs w:val="24"/>
        </w:rPr>
        <w:t>LEfSe</w:t>
      </w:r>
      <w:proofErr w:type="spellEnd"/>
      <w:r w:rsidRPr="0F5B9073">
        <w:rPr>
          <w:rFonts w:ascii="Arial" w:eastAsia="Arial" w:hAnsi="Arial" w:cs="Arial"/>
          <w:sz w:val="24"/>
          <w:szCs w:val="24"/>
        </w:rPr>
        <w:t xml:space="preserve"> analysis </w:t>
      </w:r>
      <w:proofErr w:type="gramStart"/>
      <w:r w:rsidRPr="0F5B9073">
        <w:rPr>
          <w:rFonts w:ascii="Arial" w:eastAsia="Arial" w:hAnsi="Arial" w:cs="Arial"/>
          <w:sz w:val="24"/>
          <w:szCs w:val="24"/>
        </w:rPr>
        <w:t>matrix .Taxonomic</w:t>
      </w:r>
      <w:proofErr w:type="gramEnd"/>
      <w:r w:rsidRPr="0F5B9073">
        <w:rPr>
          <w:rFonts w:ascii="Arial" w:eastAsia="Arial" w:hAnsi="Arial" w:cs="Arial"/>
          <w:sz w:val="24"/>
          <w:szCs w:val="24"/>
        </w:rPr>
        <w:t xml:space="preserve"> group comparisons were conducted at the Phyla, Class, Order and Family levels. Analyses were preformed separately for each sub-project and genetic line. </w:t>
      </w:r>
    </w:p>
    <w:p w14:paraId="37EF4285" w14:textId="77777777" w:rsidR="00A40AAA" w:rsidRPr="00A40AAA" w:rsidRDefault="00A40AAA" w:rsidP="00A40AAA">
      <w:pPr>
        <w:rPr>
          <w:rFonts w:ascii="Arial" w:hAnsi="Arial" w:cs="Arial"/>
          <w:b/>
          <w:sz w:val="24"/>
          <w:szCs w:val="24"/>
        </w:rPr>
      </w:pPr>
      <w:r w:rsidRPr="00A40AAA">
        <w:rPr>
          <w:rFonts w:ascii="Arial" w:hAnsi="Arial" w:cs="Arial"/>
          <w:b/>
          <w:sz w:val="24"/>
          <w:szCs w:val="24"/>
        </w:rPr>
        <w:t xml:space="preserve">Supplementary Figures. </w:t>
      </w:r>
    </w:p>
    <w:p w14:paraId="5C265C4F" w14:textId="77777777" w:rsidR="00A40AAA" w:rsidRPr="00A40AAA" w:rsidRDefault="00A40AAA" w:rsidP="00A40AAA">
      <w:pPr>
        <w:rPr>
          <w:rFonts w:ascii="Arial" w:hAnsi="Arial" w:cs="Arial"/>
          <w:sz w:val="24"/>
          <w:szCs w:val="24"/>
        </w:rPr>
      </w:pPr>
      <w:proofErr w:type="spellStart"/>
      <w:r w:rsidRPr="00A40AAA">
        <w:rPr>
          <w:rFonts w:ascii="Arial" w:hAnsi="Arial" w:cs="Arial"/>
          <w:sz w:val="24"/>
          <w:szCs w:val="24"/>
        </w:rPr>
        <w:t>SFigure</w:t>
      </w:r>
      <w:proofErr w:type="spellEnd"/>
      <w:r w:rsidRPr="00A40AAA">
        <w:rPr>
          <w:rFonts w:ascii="Arial" w:hAnsi="Arial" w:cs="Arial"/>
          <w:sz w:val="24"/>
          <w:szCs w:val="24"/>
        </w:rPr>
        <w:t xml:space="preserve"> 1. Chloroplast associated reads differ significantly between high and low graded Line A chickens.  A darker tinted background indicates a significant difference within that genetic line between high and low chickens. Significance is defined as a p-value less than or equal to 0.05 using a Mann-Whitney U-test.</w:t>
      </w:r>
    </w:p>
    <w:p w14:paraId="4799B4AE" w14:textId="77777777" w:rsidR="00A40AAA" w:rsidRPr="00A40AAA" w:rsidRDefault="00A40AAA" w:rsidP="00A40AAA">
      <w:pPr>
        <w:rPr>
          <w:rFonts w:ascii="Arial" w:hAnsi="Arial" w:cs="Arial"/>
          <w:sz w:val="24"/>
          <w:szCs w:val="24"/>
        </w:rPr>
      </w:pPr>
      <w:proofErr w:type="spellStart"/>
      <w:r w:rsidRPr="00A40AAA">
        <w:rPr>
          <w:rFonts w:ascii="Arial" w:hAnsi="Arial" w:cs="Arial"/>
          <w:sz w:val="24"/>
          <w:szCs w:val="24"/>
        </w:rPr>
        <w:t>SFigure</w:t>
      </w:r>
      <w:proofErr w:type="spellEnd"/>
      <w:r w:rsidRPr="00A40AAA">
        <w:rPr>
          <w:rFonts w:ascii="Arial" w:hAnsi="Arial" w:cs="Arial"/>
          <w:sz w:val="24"/>
          <w:szCs w:val="24"/>
        </w:rPr>
        <w:t xml:space="preserve"> 2. Shannon Diversity does not significantly differ between high and low graded chickens in most cases.  In this figure we present the alpha diversity (calculated as Shannon diversity) for high and low graded Line A (A) and Line B (B) chickens; as well as Line A (C) and Line B (D) chickens graded using the feed conversion metric.  Significance is defined as a p-value less than or equal to 0.05 using a Mann-Whitney U-test.  </w:t>
      </w:r>
    </w:p>
    <w:p w14:paraId="29D6B04F" w14:textId="77777777" w:rsidR="00A40AAA" w:rsidRPr="00A40AAA" w:rsidRDefault="00A40AAA" w:rsidP="00A40AAA">
      <w:pPr>
        <w:rPr>
          <w:rFonts w:ascii="Arial" w:hAnsi="Arial" w:cs="Arial"/>
          <w:sz w:val="24"/>
          <w:szCs w:val="24"/>
        </w:rPr>
      </w:pPr>
      <w:r w:rsidRPr="00A40AAA">
        <w:rPr>
          <w:rFonts w:ascii="Arial" w:hAnsi="Arial" w:cs="Arial"/>
          <w:sz w:val="24"/>
          <w:szCs w:val="24"/>
        </w:rPr>
        <w:t xml:space="preserve"> </w:t>
      </w:r>
    </w:p>
    <w:p w14:paraId="672A6659" w14:textId="77777777" w:rsidR="00A40AAA" w:rsidRPr="00A40AAA" w:rsidRDefault="00A40AAA" w:rsidP="00A40AAA">
      <w:pPr>
        <w:rPr>
          <w:rFonts w:ascii="Arial" w:hAnsi="Arial" w:cs="Arial"/>
          <w:sz w:val="24"/>
          <w:szCs w:val="24"/>
        </w:rPr>
      </w:pPr>
    </w:p>
    <w:p w14:paraId="0A37501D" w14:textId="77777777" w:rsidR="00A40AAA" w:rsidRPr="00A40AAA" w:rsidRDefault="00A40AAA" w:rsidP="00A40AAA">
      <w:pPr>
        <w:rPr>
          <w:rFonts w:ascii="Arial" w:hAnsi="Arial" w:cs="Arial"/>
          <w:sz w:val="24"/>
          <w:szCs w:val="24"/>
        </w:rPr>
      </w:pPr>
    </w:p>
    <w:p w14:paraId="07DBD70C" w14:textId="77777777" w:rsidR="001540D4" w:rsidRPr="00A40AAA" w:rsidRDefault="00A40AAA" w:rsidP="00A40AAA">
      <w:pPr>
        <w:rPr>
          <w:rFonts w:ascii="Arial" w:hAnsi="Arial" w:cs="Arial"/>
          <w:sz w:val="24"/>
          <w:szCs w:val="24"/>
        </w:rPr>
      </w:pPr>
      <w:proofErr w:type="spellStart"/>
      <w:r w:rsidRPr="00A40AAA">
        <w:rPr>
          <w:rFonts w:ascii="Arial" w:hAnsi="Arial" w:cs="Arial"/>
          <w:sz w:val="24"/>
          <w:szCs w:val="24"/>
        </w:rPr>
        <w:t>STable</w:t>
      </w:r>
      <w:proofErr w:type="spellEnd"/>
      <w:r w:rsidRPr="00A40AAA">
        <w:rPr>
          <w:rFonts w:ascii="Arial" w:hAnsi="Arial" w:cs="Arial"/>
          <w:sz w:val="24"/>
          <w:szCs w:val="24"/>
        </w:rPr>
        <w:t xml:space="preserve"> 1. Classification model statistics</w:t>
      </w:r>
    </w:p>
    <w:p w14:paraId="5DAB6C7B" w14:textId="77777777" w:rsidR="00A40AAA" w:rsidRPr="00A40AAA" w:rsidRDefault="00A40AAA" w:rsidP="00A40AAA">
      <w:pPr>
        <w:rPr>
          <w:rFonts w:ascii="Arial" w:hAnsi="Arial" w:cs="Arial"/>
          <w:sz w:val="24"/>
          <w:szCs w:val="24"/>
        </w:rPr>
      </w:pPr>
      <w:r w:rsidRPr="00A40AAA">
        <w:rPr>
          <w:rFonts w:ascii="Arial" w:hAnsi="Arial" w:cs="Arial"/>
          <w:noProof/>
          <w:sz w:val="24"/>
          <w:szCs w:val="24"/>
        </w:rPr>
        <w:drawing>
          <wp:inline distT="0" distB="0" distL="0" distR="0" wp14:anchorId="597F5337" wp14:editId="04A84318">
            <wp:extent cx="5486400" cy="16878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1687830"/>
                    </a:xfrm>
                    <a:prstGeom prst="rect">
                      <a:avLst/>
                    </a:prstGeom>
                    <a:noFill/>
                    <a:ln>
                      <a:noFill/>
                    </a:ln>
                  </pic:spPr>
                </pic:pic>
              </a:graphicData>
            </a:graphic>
          </wp:inline>
        </w:drawing>
      </w:r>
    </w:p>
    <w:sectPr w:rsidR="00A40AAA" w:rsidRPr="00A40A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AAA"/>
    <w:rsid w:val="000102D9"/>
    <w:rsid w:val="001540D4"/>
    <w:rsid w:val="00245E09"/>
    <w:rsid w:val="00A40AAA"/>
    <w:rsid w:val="0F5B9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B6E3F"/>
  <w15:docId w15:val="{10C44E68-3E0E-41C1-B719-019786378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0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A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610</Words>
  <Characters>3477</Characters>
  <Application>Microsoft Office Word</Application>
  <DocSecurity>0</DocSecurity>
  <Lines>28</Lines>
  <Paragraphs>8</Paragraphs>
  <ScaleCrop>false</ScaleCrop>
  <Company>Cobb-Vantress, Inc.</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Allison Perrotta</cp:lastModifiedBy>
  <cp:revision>3</cp:revision>
  <dcterms:created xsi:type="dcterms:W3CDTF">2018-06-18T18:49:00Z</dcterms:created>
  <dcterms:modified xsi:type="dcterms:W3CDTF">2018-06-18T18:56:00Z</dcterms:modified>
</cp:coreProperties>
</file>