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8" w:rsidRPr="00174E2C" w:rsidRDefault="00204558" w:rsidP="00204558">
      <w:pPr>
        <w:spacing w:line="240" w:lineRule="auto"/>
        <w:rPr>
          <w:rFonts w:ascii="Times New Roman" w:hAnsi="Times New Roman"/>
          <w:b/>
          <w:sz w:val="36"/>
          <w:szCs w:val="36"/>
        </w:rPr>
      </w:pPr>
      <w:proofErr w:type="gramStart"/>
      <w:r w:rsidRPr="00174E2C">
        <w:rPr>
          <w:rFonts w:ascii="Times New Roman" w:hAnsi="Times New Roman"/>
          <w:b/>
          <w:sz w:val="36"/>
          <w:szCs w:val="36"/>
        </w:rPr>
        <w:t xml:space="preserve">Supplementary </w:t>
      </w:r>
      <w:r>
        <w:rPr>
          <w:rFonts w:ascii="Times New Roman" w:hAnsi="Times New Roman"/>
          <w:b/>
          <w:sz w:val="36"/>
          <w:szCs w:val="36"/>
        </w:rPr>
        <w:t xml:space="preserve">2 - </w:t>
      </w:r>
      <w:r w:rsidRPr="00936404">
        <w:rPr>
          <w:rFonts w:ascii="Times New Roman" w:hAnsi="Times New Roman"/>
          <w:b/>
          <w:sz w:val="36"/>
          <w:szCs w:val="36"/>
        </w:rPr>
        <w:t>Identities of annual plants at study sites.</w:t>
      </w:r>
      <w:proofErr w:type="gramEnd"/>
    </w:p>
    <w:p w:rsidR="00204558" w:rsidRDefault="00204558" w:rsidP="00204558">
      <w:pPr>
        <w:spacing w:before="143" w:after="0" w:line="240" w:lineRule="auto"/>
        <w:rPr>
          <w:rFonts w:ascii="Times New Roman" w:hAnsi="Times New Roman"/>
        </w:rPr>
      </w:pPr>
    </w:p>
    <w:p w:rsidR="00204558" w:rsidRPr="00936404" w:rsidRDefault="00204558" w:rsidP="00204558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36404">
        <w:rPr>
          <w:rFonts w:ascii="Times New Roman" w:hAnsi="Times New Roman"/>
          <w:b/>
          <w:sz w:val="28"/>
          <w:szCs w:val="28"/>
        </w:rPr>
        <w:t>Plant surveys in 2015</w:t>
      </w:r>
    </w:p>
    <w:p w:rsidR="00204558" w:rsidRDefault="00204558" w:rsidP="0020455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April of 2015, plant surveys were conducted at each of the three sites within MNP and PAN. At each site, 50 x 50 cm </w:t>
      </w:r>
      <w:proofErr w:type="spellStart"/>
      <w:r>
        <w:rPr>
          <w:rFonts w:ascii="Times New Roman" w:hAnsi="Times New Roman"/>
          <w:sz w:val="24"/>
          <w:szCs w:val="24"/>
        </w:rPr>
        <w:t>quadrats</w:t>
      </w:r>
      <w:proofErr w:type="spellEnd"/>
      <w:r>
        <w:rPr>
          <w:rFonts w:ascii="Times New Roman" w:hAnsi="Times New Roman"/>
          <w:sz w:val="24"/>
          <w:szCs w:val="24"/>
        </w:rPr>
        <w:t xml:space="preserve"> were placed in 15 shrub and open pairs. The </w:t>
      </w:r>
      <w:proofErr w:type="spellStart"/>
      <w:r>
        <w:rPr>
          <w:rFonts w:ascii="Times New Roman" w:hAnsi="Times New Roman"/>
          <w:sz w:val="24"/>
          <w:szCs w:val="24"/>
        </w:rPr>
        <w:t>quadrats</w:t>
      </w:r>
      <w:proofErr w:type="spellEnd"/>
      <w:r>
        <w:rPr>
          <w:rFonts w:ascii="Times New Roman" w:hAnsi="Times New Roman"/>
          <w:sz w:val="24"/>
          <w:szCs w:val="24"/>
        </w:rPr>
        <w:t xml:space="preserve"> were placed on the north end of the shrub and in the open (greater than 1.5 meters away from any shrub). </w:t>
      </w:r>
      <w:r w:rsidRPr="00375E97">
        <w:rPr>
          <w:rFonts w:ascii="Times New Roman" w:hAnsi="Times New Roman"/>
          <w:sz w:val="24"/>
          <w:szCs w:val="24"/>
        </w:rPr>
        <w:t xml:space="preserve">Individual plants in each </w:t>
      </w:r>
      <w:proofErr w:type="spellStart"/>
      <w:r w:rsidRPr="00375E97">
        <w:rPr>
          <w:rFonts w:ascii="Times New Roman" w:hAnsi="Times New Roman"/>
          <w:sz w:val="24"/>
          <w:szCs w:val="24"/>
        </w:rPr>
        <w:t>quadrat</w:t>
      </w:r>
      <w:proofErr w:type="spellEnd"/>
      <w:r w:rsidRPr="00375E97">
        <w:rPr>
          <w:rFonts w:ascii="Times New Roman" w:hAnsi="Times New Roman"/>
          <w:sz w:val="24"/>
          <w:szCs w:val="24"/>
        </w:rPr>
        <w:t xml:space="preserve"> were identified to species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5E97">
        <w:rPr>
          <w:rFonts w:ascii="Times New Roman" w:hAnsi="Times New Roman"/>
          <w:sz w:val="24"/>
          <w:szCs w:val="24"/>
        </w:rPr>
        <w:t>level and relative abundances were</w:t>
      </w:r>
      <w:r>
        <w:rPr>
          <w:rFonts w:ascii="Times New Roman" w:hAnsi="Times New Roman"/>
          <w:sz w:val="24"/>
          <w:szCs w:val="24"/>
        </w:rPr>
        <w:t xml:space="preserve"> counted. The conservation status of each identified species (i.e. native or non-native) was determined using the </w:t>
      </w:r>
      <w:proofErr w:type="spellStart"/>
      <w:r>
        <w:rPr>
          <w:rFonts w:ascii="Times New Roman" w:hAnsi="Times New Roman"/>
          <w:sz w:val="24"/>
          <w:szCs w:val="24"/>
        </w:rPr>
        <w:t>CalFlora</w:t>
      </w:r>
      <w:proofErr w:type="spellEnd"/>
      <w:r>
        <w:rPr>
          <w:rFonts w:ascii="Times New Roman" w:hAnsi="Times New Roman"/>
          <w:sz w:val="24"/>
          <w:szCs w:val="24"/>
        </w:rPr>
        <w:t xml:space="preserve"> database (</w:t>
      </w:r>
      <w:hyperlink r:id="rId4" w:history="1">
        <w:r w:rsidRPr="00A21CE4">
          <w:rPr>
            <w:rStyle w:val="Hyperlink"/>
            <w:rFonts w:ascii="Times New Roman" w:hAnsi="Times New Roman"/>
            <w:sz w:val="24"/>
            <w:szCs w:val="24"/>
          </w:rPr>
          <w:t>http://www.calflora.org/</w:t>
        </w:r>
      </w:hyperlink>
      <w:r>
        <w:rPr>
          <w:rFonts w:ascii="Times New Roman" w:hAnsi="Times New Roman"/>
          <w:sz w:val="24"/>
          <w:szCs w:val="24"/>
        </w:rPr>
        <w:t xml:space="preserve">). The average number of plants surveyed in each desert and </w:t>
      </w:r>
      <w:proofErr w:type="spellStart"/>
      <w:r>
        <w:rPr>
          <w:rFonts w:ascii="Times New Roman" w:hAnsi="Times New Roman"/>
          <w:sz w:val="24"/>
          <w:szCs w:val="24"/>
        </w:rPr>
        <w:t>microsite</w:t>
      </w:r>
      <w:proofErr w:type="spellEnd"/>
      <w:r>
        <w:rPr>
          <w:rFonts w:ascii="Times New Roman" w:hAnsi="Times New Roman"/>
          <w:sz w:val="24"/>
          <w:szCs w:val="24"/>
        </w:rPr>
        <w:t xml:space="preserve"> were summarized based on the conservation status (Table B.1). A full list of all the species identified at the sites is listed in Table B.2 </w:t>
      </w:r>
    </w:p>
    <w:p w:rsidR="00204558" w:rsidRDefault="00204558" w:rsidP="0020455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04558" w:rsidRPr="00BA595D" w:rsidRDefault="00204558" w:rsidP="00204558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04558" w:rsidRDefault="00204558" w:rsidP="00204558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</w:t>
      </w:r>
      <w:r w:rsidR="00CE2EA7">
        <w:rPr>
          <w:rFonts w:ascii="Times New Roman" w:hAnsi="Times New Roman"/>
          <w:b/>
          <w:sz w:val="24"/>
          <w:szCs w:val="24"/>
        </w:rPr>
        <w:t>A</w:t>
      </w:r>
      <w:r w:rsidRPr="006E5FA1">
        <w:rPr>
          <w:rFonts w:ascii="Times New Roman" w:hAnsi="Times New Roman"/>
          <w:b/>
          <w:sz w:val="24"/>
          <w:szCs w:val="24"/>
        </w:rPr>
        <w:t>:</w:t>
      </w:r>
      <w:r w:rsidRPr="006E5FA1">
        <w:rPr>
          <w:rFonts w:ascii="Times New Roman" w:hAnsi="Times New Roman"/>
          <w:sz w:val="24"/>
          <w:szCs w:val="24"/>
        </w:rPr>
        <w:t xml:space="preserve"> </w:t>
      </w:r>
      <w:bookmarkStart w:id="0" w:name="_Hlk6301868"/>
      <w:r w:rsidRPr="006E5FA1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average</w:t>
      </w:r>
      <w:r w:rsidRPr="006E5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density of annual plants based on species origin in shrub and open plots for</w:t>
      </w:r>
      <w:r w:rsidRPr="006E5FA1">
        <w:rPr>
          <w:rFonts w:ascii="Times New Roman" w:hAnsi="Times New Roman"/>
          <w:sz w:val="24"/>
          <w:szCs w:val="24"/>
        </w:rPr>
        <w:t xml:space="preserve"> each the Mojave National Preserv</w:t>
      </w:r>
      <w:r>
        <w:rPr>
          <w:rFonts w:ascii="Times New Roman" w:hAnsi="Times New Roman"/>
          <w:sz w:val="24"/>
          <w:szCs w:val="24"/>
        </w:rPr>
        <w:t xml:space="preserve">e (MNP) and </w:t>
      </w:r>
      <w:proofErr w:type="spellStart"/>
      <w:r>
        <w:rPr>
          <w:rFonts w:ascii="Times New Roman" w:hAnsi="Times New Roman"/>
          <w:sz w:val="24"/>
          <w:szCs w:val="24"/>
        </w:rPr>
        <w:t>Panoche</w:t>
      </w:r>
      <w:proofErr w:type="spellEnd"/>
      <w:r>
        <w:rPr>
          <w:rFonts w:ascii="Times New Roman" w:hAnsi="Times New Roman"/>
          <w:sz w:val="24"/>
          <w:szCs w:val="24"/>
        </w:rPr>
        <w:t xml:space="preserve"> Hills (PAN).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394"/>
        <w:gridCol w:w="2394"/>
        <w:gridCol w:w="2394"/>
      </w:tblGrid>
      <w:tr w:rsidR="00204558" w:rsidTr="003652E1"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63885">
              <w:rPr>
                <w:rFonts w:ascii="Times New Roman" w:hAnsi="Times New Roman"/>
                <w:b/>
              </w:rPr>
              <w:t>Site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63885">
              <w:rPr>
                <w:rFonts w:ascii="Times New Roman" w:hAnsi="Times New Roman"/>
                <w:b/>
              </w:rPr>
              <w:t>Conservation Status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  <w:b/>
              </w:rPr>
            </w:pPr>
            <w:proofErr w:type="spellStart"/>
            <w:r w:rsidRPr="00963885">
              <w:rPr>
                <w:rFonts w:ascii="Times New Roman" w:hAnsi="Times New Roman"/>
                <w:b/>
              </w:rPr>
              <w:t>Microsite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 w:rsidRPr="00963885">
              <w:rPr>
                <w:rFonts w:ascii="Times New Roman" w:hAnsi="Times New Roman"/>
                <w:b/>
              </w:rPr>
              <w:t>Density (individuals / 0.25 m</w:t>
            </w:r>
            <w:r w:rsidRPr="00963885">
              <w:rPr>
                <w:rFonts w:ascii="Times New Roman" w:hAnsi="Times New Roman"/>
                <w:b/>
                <w:vertAlign w:val="superscript"/>
              </w:rPr>
              <w:t>2</w:t>
            </w:r>
            <w:r w:rsidRPr="00963885">
              <w:rPr>
                <w:rFonts w:ascii="Times New Roman" w:hAnsi="Times New Roman"/>
                <w:b/>
              </w:rPr>
              <w:t>)</w:t>
            </w:r>
          </w:p>
        </w:tc>
      </w:tr>
      <w:tr w:rsidR="00204558" w:rsidTr="003652E1">
        <w:tc>
          <w:tcPr>
            <w:tcW w:w="2394" w:type="dxa"/>
            <w:tcBorders>
              <w:top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MNP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Non-native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Open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7.80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MNP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Non-native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Shrub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61.47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MNP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Open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18.60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MNP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Shrub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30.67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PAN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Non-native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Open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78.53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PAN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Non-native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Shrub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63885">
              <w:rPr>
                <w:rFonts w:ascii="Times New Roman" w:hAnsi="Times New Roman"/>
              </w:rPr>
              <w:t>34.40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PAN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Open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10.40</w:t>
            </w:r>
          </w:p>
        </w:tc>
      </w:tr>
      <w:tr w:rsidR="00204558" w:rsidTr="003652E1"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PAN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Native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Shrub</w:t>
            </w:r>
          </w:p>
        </w:tc>
        <w:tc>
          <w:tcPr>
            <w:tcW w:w="2394" w:type="dxa"/>
          </w:tcPr>
          <w:p w:rsidR="00204558" w:rsidRPr="00963885" w:rsidRDefault="00204558" w:rsidP="003652E1">
            <w:pPr>
              <w:spacing w:after="160" w:line="259" w:lineRule="auto"/>
              <w:rPr>
                <w:rFonts w:ascii="Times New Roman" w:hAnsi="Times New Roman"/>
              </w:rPr>
            </w:pPr>
            <w:r w:rsidRPr="00963885">
              <w:rPr>
                <w:rFonts w:ascii="Times New Roman" w:hAnsi="Times New Roman"/>
              </w:rPr>
              <w:t>3.80</w:t>
            </w:r>
          </w:p>
        </w:tc>
      </w:tr>
    </w:tbl>
    <w:p w:rsidR="00204558" w:rsidRDefault="00204558" w:rsidP="00204558">
      <w:pPr>
        <w:spacing w:before="143" w:after="0" w:line="480" w:lineRule="auto"/>
        <w:rPr>
          <w:rFonts w:ascii="Times New Roman" w:hAnsi="Times New Roman"/>
          <w:b/>
          <w:sz w:val="24"/>
          <w:szCs w:val="24"/>
        </w:rPr>
      </w:pPr>
    </w:p>
    <w:p w:rsidR="00204558" w:rsidRDefault="00204558" w:rsidP="00204558">
      <w:pPr>
        <w:spacing w:before="143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04558" w:rsidRDefault="00204558" w:rsidP="002045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</w:t>
      </w:r>
      <w:r w:rsidRPr="006E5FA1">
        <w:rPr>
          <w:rFonts w:ascii="Times New Roman" w:hAnsi="Times New Roman"/>
          <w:b/>
          <w:sz w:val="24"/>
          <w:szCs w:val="24"/>
        </w:rPr>
        <w:t xml:space="preserve"> </w:t>
      </w:r>
      <w:r w:rsidR="00CE2EA7">
        <w:rPr>
          <w:rFonts w:ascii="Times New Roman" w:hAnsi="Times New Roman"/>
          <w:b/>
          <w:sz w:val="24"/>
          <w:szCs w:val="24"/>
        </w:rPr>
        <w:t>B</w:t>
      </w:r>
      <w:r w:rsidRPr="006E5F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List of annual species observed at the study sites in the Mojave National Preserve and </w:t>
      </w:r>
      <w:proofErr w:type="spellStart"/>
      <w:r>
        <w:rPr>
          <w:rFonts w:ascii="Times New Roman" w:hAnsi="Times New Roman"/>
          <w:sz w:val="24"/>
          <w:szCs w:val="24"/>
        </w:rPr>
        <w:t>Panoche</w:t>
      </w:r>
      <w:proofErr w:type="spellEnd"/>
      <w:r>
        <w:rPr>
          <w:rFonts w:ascii="Times New Roman" w:hAnsi="Times New Roman"/>
          <w:sz w:val="24"/>
          <w:szCs w:val="24"/>
        </w:rPr>
        <w:t xml:space="preserve"> Hills. </w:t>
      </w:r>
    </w:p>
    <w:tbl>
      <w:tblPr>
        <w:tblW w:w="10222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48"/>
        <w:gridCol w:w="1319"/>
        <w:gridCol w:w="1373"/>
        <w:gridCol w:w="1266"/>
        <w:gridCol w:w="1044"/>
        <w:gridCol w:w="1422"/>
        <w:gridCol w:w="1355"/>
        <w:gridCol w:w="1595"/>
      </w:tblGrid>
      <w:tr w:rsidR="00204558" w:rsidRPr="00B61EE0" w:rsidTr="003652E1">
        <w:trPr>
          <w:trHeight w:val="30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Site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genus</w:t>
            </w:r>
          </w:p>
        </w:tc>
        <w:tc>
          <w:tcPr>
            <w:tcW w:w="13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species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species.name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sub.spp</w:t>
            </w: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common.name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Life-form</w:t>
            </w:r>
          </w:p>
        </w:tc>
        <w:tc>
          <w:tcPr>
            <w:tcW w:w="1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CA"/>
              </w:rPr>
              <w:t>status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Bromus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hordeaceus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B.hordeaceus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soft brome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Bromus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madritensis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 xml:space="preserve"> spp. </w:t>
            </w: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rubens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B.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rubens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red </w:t>
            </w: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brome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barbigera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C.barbigera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Camissonia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brevipes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C.brevipes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yellow cups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Camissonia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claviformis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C.claviformis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brown-eyed primrose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Chaenactis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fremontii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C.fremontii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Fremont's pincushion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intermedia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C.intermedia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common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Caulanthus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lasiophyllus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C.lasiophyllus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California mustard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Chorizanthe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rigida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C.rigida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Devil's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spineflower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Erodium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cicutarium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E.cicutarium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filaree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Eriastrum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eremicum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E.eremicum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desert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woolystar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Eremalche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exilis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E.exilis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white mallow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Eschscholzia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minutiflora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E.minutiflora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coville</w:t>
            </w:r>
            <w:proofErr w:type="spellEnd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poppy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Emmenanthe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penduliflora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E.penduliflora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penduliflora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whispering bells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Eriophyllum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wallacei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E.wallacei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woolly daisy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Langloisia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setosissima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L.setosissima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bristly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langlosia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Monoptilon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bellioides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M.bellioides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desert star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Malacothrix</w:t>
            </w:r>
            <w:proofErr w:type="spellEnd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glabrata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M.glabrata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desert dandelion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Nama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demissum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N.demissum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purple mat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Phacelia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crenulata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P.crenulata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notch-leaf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phacelia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Pholistoma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membranaceum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P.membranaceum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white fiesta flower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Plantago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ovata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P.ovata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insularis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desert plantain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Rafinesquia</w:t>
            </w:r>
            <w:proofErr w:type="spellEnd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neomexicana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R.neomexicana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desert chicory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</w:tcPr>
          <w:p w:rsidR="00204558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  <w:bookmarkStart w:id="1" w:name="_GoBack"/>
            <w:bookmarkEnd w:id="1"/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</w:t>
            </w:r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alvia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columbariae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S.</w:t>
            </w:r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columbariae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204558" w:rsidRPr="00D24E68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</w:t>
            </w:r>
            <w:r w:rsidRPr="00D24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esert </w:t>
            </w:r>
            <w:proofErr w:type="spellStart"/>
            <w:r w:rsidRPr="00D24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chia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MNP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Schismus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barbatus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S.barbatus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kelch</w:t>
            </w:r>
            <w:proofErr w:type="spellEnd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grass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Aristida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adscensionis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A.adscensionis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sixweeks</w:t>
            </w:r>
            <w:proofErr w:type="spellEnd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treeawn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Amsinckia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grandiflora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A.grandiflora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dandelion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Aastragalus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lentiginosus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A.lentiginosus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spotted locoweed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Acmispon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wrangelianus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A.wrangelianus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Chilean bird's-foot trefoi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l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Bromus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hordeaceus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B.hordeaceus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soft brome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Bromus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hordeaceus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B.hordeaceus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soft brome</w:t>
            </w:r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barbigera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C.barbigera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bearded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Castilleja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exserta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C.exserta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owls clover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intermedia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C.intermedia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common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cryptantha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Caulanthus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lasiophyllus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C.lasiophyllus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California mustard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Dichelostemma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capitatum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D.capitatum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blue dicks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herb 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lastRenderedPageBreak/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Deinandra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kelloggii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D.kelloggii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tarweed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Erodium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cicutarium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E.cicutarium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filaree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Hordeum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vulgare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H.vulgare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barley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Lasthenia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gracilis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L.gracilis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gold fields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</w:t>
            </w: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Phacelia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tanacetifolia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P.tanacetifolia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notch-leaf </w:t>
            </w: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phacelia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Plantago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ovata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P.ovata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insularis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desert plantain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</w:tcPr>
          <w:p w:rsidR="00204558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</w:t>
            </w:r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alvia</w:t>
            </w: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columbariae</w:t>
            </w:r>
            <w:proofErr w:type="spellEnd"/>
          </w:p>
        </w:tc>
        <w:tc>
          <w:tcPr>
            <w:tcW w:w="1266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S.</w:t>
            </w:r>
            <w:r w:rsidRPr="00D24E6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columbariae</w:t>
            </w:r>
            <w:proofErr w:type="spellEnd"/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422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desert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chia</w:t>
            </w:r>
            <w:proofErr w:type="spellEnd"/>
          </w:p>
        </w:tc>
        <w:tc>
          <w:tcPr>
            <w:tcW w:w="135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herb</w:t>
            </w:r>
          </w:p>
        </w:tc>
        <w:tc>
          <w:tcPr>
            <w:tcW w:w="1595" w:type="dxa"/>
            <w:shd w:val="clear" w:color="auto" w:fill="auto"/>
            <w:noWrap/>
            <w:vAlign w:val="center"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native</w:t>
            </w:r>
          </w:p>
        </w:tc>
      </w:tr>
      <w:tr w:rsidR="00204558" w:rsidRPr="00B61EE0" w:rsidTr="003652E1">
        <w:trPr>
          <w:trHeight w:val="300"/>
        </w:trPr>
        <w:tc>
          <w:tcPr>
            <w:tcW w:w="848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PAN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Schismus</w:t>
            </w:r>
            <w:proofErr w:type="spellEnd"/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barbatus</w:t>
            </w:r>
            <w:proofErr w:type="spellEnd"/>
          </w:p>
        </w:tc>
        <w:tc>
          <w:tcPr>
            <w:tcW w:w="2310" w:type="dxa"/>
            <w:gridSpan w:val="2"/>
            <w:shd w:val="clear" w:color="auto" w:fill="auto"/>
            <w:noWrap/>
            <w:vAlign w:val="center"/>
            <w:hideMark/>
          </w:tcPr>
          <w:p w:rsidR="00204558" w:rsidRPr="00BA595D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A595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en-CA"/>
              </w:rPr>
              <w:t>S.barbatus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kelch</w:t>
            </w:r>
            <w:proofErr w:type="spellEnd"/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 xml:space="preserve"> grass</w:t>
            </w:r>
          </w:p>
        </w:tc>
        <w:tc>
          <w:tcPr>
            <w:tcW w:w="135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grass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:rsidR="00204558" w:rsidRPr="00B61EE0" w:rsidRDefault="00204558" w:rsidP="00365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B61EE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exotic</w:t>
            </w:r>
          </w:p>
        </w:tc>
      </w:tr>
    </w:tbl>
    <w:p w:rsidR="003C4DBB" w:rsidRPr="00204558" w:rsidRDefault="00CE2EA7" w:rsidP="00204558">
      <w:pPr>
        <w:spacing w:before="143" w:after="0" w:line="240" w:lineRule="auto"/>
        <w:rPr>
          <w:rFonts w:ascii="Times New Roman" w:hAnsi="Times New Roman"/>
          <w:sz w:val="20"/>
          <w:szCs w:val="20"/>
        </w:rPr>
      </w:pPr>
    </w:p>
    <w:sectPr w:rsidR="003C4DBB" w:rsidRPr="00204558" w:rsidSect="004A3B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04558"/>
    <w:rsid w:val="001D00F4"/>
    <w:rsid w:val="00204558"/>
    <w:rsid w:val="00407B20"/>
    <w:rsid w:val="004434D6"/>
    <w:rsid w:val="004A3B60"/>
    <w:rsid w:val="00777495"/>
    <w:rsid w:val="00B56D1D"/>
    <w:rsid w:val="00BE2B01"/>
    <w:rsid w:val="00C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before="1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58"/>
    <w:pPr>
      <w:spacing w:before="0"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204558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55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4558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5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flor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2019-04-16T14:16:00Z</dcterms:created>
  <dcterms:modified xsi:type="dcterms:W3CDTF">2019-04-16T14:28:00Z</dcterms:modified>
</cp:coreProperties>
</file>