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45E" w:rsidRPr="0047391F" w:rsidRDefault="0077745E" w:rsidP="0077745E">
      <w:pPr>
        <w:rPr>
          <w:b/>
        </w:rPr>
      </w:pPr>
      <w:r>
        <w:rPr>
          <w:b/>
        </w:rPr>
        <w:t xml:space="preserve">S2 </w:t>
      </w:r>
      <w:r w:rsidRPr="008869AA">
        <w:rPr>
          <w:b/>
        </w:rPr>
        <w:t>Table.</w:t>
      </w:r>
      <w:r>
        <w:rPr>
          <w:b/>
        </w:rPr>
        <w:t xml:space="preserve"> </w:t>
      </w:r>
      <w:r>
        <w:t>Invasive species assessed in this review with the number of references found in ABI/INFORM and WS searches. The percent of the number references in the search that were appropriate, as indicated by the numbers, are given in parentheses. Blanks in the table indicate no data were collected for these species.</w:t>
      </w:r>
    </w:p>
    <w:p w:rsidR="0077745E" w:rsidRPr="00664F74" w:rsidRDefault="0077745E" w:rsidP="0077745E"/>
    <w:tbl>
      <w:tblPr>
        <w:tblW w:w="9990" w:type="dxa"/>
        <w:tblInd w:w="108" w:type="dxa"/>
        <w:tblLayout w:type="fixed"/>
        <w:tblLook w:val="04A0" w:firstRow="1" w:lastRow="0" w:firstColumn="1" w:lastColumn="0" w:noHBand="0" w:noVBand="1"/>
      </w:tblPr>
      <w:tblGrid>
        <w:gridCol w:w="1710"/>
        <w:gridCol w:w="2070"/>
        <w:gridCol w:w="1350"/>
        <w:gridCol w:w="810"/>
        <w:gridCol w:w="1350"/>
        <w:gridCol w:w="1350"/>
        <w:gridCol w:w="1350"/>
      </w:tblGrid>
      <w:tr w:rsidR="0077745E" w:rsidTr="00972CED">
        <w:trPr>
          <w:trHeight w:val="320"/>
        </w:trPr>
        <w:tc>
          <w:tcPr>
            <w:tcW w:w="1710" w:type="dxa"/>
            <w:tcBorders>
              <w:top w:val="single" w:sz="4" w:space="0" w:color="auto"/>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b/>
                <w:bCs/>
                <w:color w:val="000000"/>
                <w:sz w:val="20"/>
                <w:szCs w:val="20"/>
              </w:rPr>
              <w:t>Scientific name</w:t>
            </w:r>
          </w:p>
        </w:tc>
        <w:tc>
          <w:tcPr>
            <w:tcW w:w="2070" w:type="dxa"/>
            <w:tcBorders>
              <w:top w:val="single" w:sz="4" w:space="0" w:color="auto"/>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b/>
                <w:bCs/>
                <w:color w:val="000000"/>
                <w:sz w:val="20"/>
                <w:szCs w:val="20"/>
              </w:rPr>
              <w:t>Common name</w:t>
            </w:r>
          </w:p>
        </w:tc>
        <w:tc>
          <w:tcPr>
            <w:tcW w:w="1350" w:type="dxa"/>
            <w:tcBorders>
              <w:top w:val="single" w:sz="4" w:space="0" w:color="auto"/>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b/>
                <w:bCs/>
                <w:color w:val="000000"/>
                <w:sz w:val="20"/>
                <w:szCs w:val="20"/>
              </w:rPr>
              <w:t>Ecosystem</w:t>
            </w:r>
          </w:p>
        </w:tc>
        <w:tc>
          <w:tcPr>
            <w:tcW w:w="810" w:type="dxa"/>
            <w:tcBorders>
              <w:top w:val="single" w:sz="4" w:space="0" w:color="auto"/>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b/>
                <w:bCs/>
                <w:color w:val="000000"/>
                <w:sz w:val="20"/>
                <w:szCs w:val="20"/>
              </w:rPr>
              <w:t>IUCN 100 worst</w:t>
            </w:r>
          </w:p>
        </w:tc>
        <w:tc>
          <w:tcPr>
            <w:tcW w:w="1350" w:type="dxa"/>
            <w:tcBorders>
              <w:top w:val="single" w:sz="4" w:space="0" w:color="auto"/>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Media references</w:t>
            </w:r>
          </w:p>
        </w:tc>
        <w:tc>
          <w:tcPr>
            <w:tcW w:w="2700" w:type="dxa"/>
            <w:gridSpan w:val="2"/>
            <w:tcBorders>
              <w:top w:val="single" w:sz="4" w:space="0" w:color="auto"/>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Scientific literature</w:t>
            </w:r>
          </w:p>
        </w:tc>
      </w:tr>
      <w:tr w:rsidR="0077745E" w:rsidTr="00972CED">
        <w:trPr>
          <w:trHeight w:val="320"/>
        </w:trPr>
        <w:tc>
          <w:tcPr>
            <w:tcW w:w="171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p>
        </w:tc>
        <w:tc>
          <w:tcPr>
            <w:tcW w:w="207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p>
        </w:tc>
        <w:tc>
          <w:tcPr>
            <w:tcW w:w="81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r>
              <w:rPr>
                <w:rFonts w:ascii="Times" w:eastAsia="Times New Roman" w:hAnsi="Times"/>
                <w:b/>
                <w:bCs/>
                <w:color w:val="000000"/>
                <w:sz w:val="20"/>
                <w:szCs w:val="20"/>
              </w:rPr>
              <w:t>non-native</w:t>
            </w: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b/>
                <w:bCs/>
                <w:color w:val="000000"/>
                <w:sz w:val="20"/>
                <w:szCs w:val="20"/>
              </w:rPr>
            </w:pPr>
            <w:r>
              <w:rPr>
                <w:rFonts w:ascii="Times" w:eastAsia="Times New Roman" w:hAnsi="Times"/>
                <w:b/>
                <w:bCs/>
                <w:color w:val="000000"/>
                <w:sz w:val="20"/>
                <w:szCs w:val="20"/>
              </w:rPr>
              <w:t>invasive</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Asteria amurensis</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northern pacific seastar</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Carcinus maenas</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green crab</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126 (19.41%)</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40 (44.44%)</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143 (40.63%)</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Caulerpa taxifolia</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caulerpa taxifolia</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44 (16.73%)</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14 (37.84%)</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176 (42.93%)</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Cercopagis pengoi</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fishhook water flea</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r>
              <w:rPr>
                <w:rFonts w:ascii="Times" w:eastAsia="Times New Roman" w:hAnsi="Times"/>
                <w:color w:val="000000"/>
                <w:sz w:val="20"/>
                <w:szCs w:val="20"/>
              </w:rPr>
              <w:t>/Fresh</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Dreissena polymorpha</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zebra mussel</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Freshwater</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444 (18.69%)</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200 (47.96%)</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336 (38.98%)</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Eriocheir sinensis</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mitten crab</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r>
              <w:rPr>
                <w:rFonts w:ascii="Times" w:eastAsia="Times New Roman" w:hAnsi="Times"/>
                <w:color w:val="000000"/>
                <w:sz w:val="20"/>
                <w:szCs w:val="20"/>
              </w:rPr>
              <w:t>/Fresh</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Mnemiopsis leidyi</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combjelly</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32 (35.96%)</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43 (47.25%)</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83 (45.86%)</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Mytilus galloprovincialis</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mediterranean mussel</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7 (1.01%)</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40 (40.40%)</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101 (40.56%)</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Potam</w:t>
            </w:r>
            <w:r>
              <w:rPr>
                <w:rFonts w:ascii="Times" w:eastAsia="Times New Roman" w:hAnsi="Times"/>
                <w:i/>
                <w:iCs/>
                <w:color w:val="000000"/>
                <w:sz w:val="20"/>
                <w:szCs w:val="20"/>
              </w:rPr>
              <w:t>o</w:t>
            </w:r>
            <w:r w:rsidRPr="00092660">
              <w:rPr>
                <w:rFonts w:ascii="Times" w:eastAsia="Times New Roman" w:hAnsi="Times"/>
                <w:i/>
                <w:iCs/>
                <w:color w:val="000000"/>
                <w:sz w:val="20"/>
                <w:szCs w:val="20"/>
              </w:rPr>
              <w:t>corbula amurensis</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 clam</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 xml:space="preserve">Pterois </w:t>
            </w:r>
            <w:r w:rsidRPr="00092660">
              <w:rPr>
                <w:rFonts w:ascii="Times" w:eastAsia="Times New Roman" w:hAnsi="Times"/>
                <w:color w:val="000000"/>
                <w:sz w:val="20"/>
                <w:szCs w:val="20"/>
              </w:rPr>
              <w:t>spp.</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lionfish</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No</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151 (18.30%)</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11 (45.83%)</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117 (49.37%)</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Rhinella marina</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cane toad</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Terrestrial</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67 (24.91%)</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19 (45.24%)</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186 (47.09%)</w:t>
            </w: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Salmo trutta</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brown trout</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r>
              <w:rPr>
                <w:rFonts w:ascii="Times" w:eastAsia="Times New Roman" w:hAnsi="Times"/>
                <w:color w:val="000000"/>
                <w:sz w:val="20"/>
                <w:szCs w:val="20"/>
              </w:rPr>
              <w:t>/Fresh</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r>
      <w:tr w:rsidR="0077745E" w:rsidTr="00972CED">
        <w:trPr>
          <w:trHeight w:val="320"/>
        </w:trPr>
        <w:tc>
          <w:tcPr>
            <w:tcW w:w="17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Spartina anglica</w:t>
            </w:r>
          </w:p>
        </w:tc>
        <w:tc>
          <w:tcPr>
            <w:tcW w:w="207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common cord-grass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c>
          <w:tcPr>
            <w:tcW w:w="1350" w:type="dxa"/>
            <w:tcBorders>
              <w:top w:val="nil"/>
              <w:left w:val="nil"/>
              <w:bottom w:val="nil"/>
              <w:right w:val="nil"/>
            </w:tcBorders>
            <w:shd w:val="clear" w:color="auto" w:fill="auto"/>
            <w:noWrap/>
            <w:vAlign w:val="bottom"/>
            <w:hideMark/>
          </w:tcPr>
          <w:p w:rsidR="0077745E" w:rsidRPr="00092660" w:rsidRDefault="0077745E" w:rsidP="00972CED">
            <w:pPr>
              <w:jc w:val="center"/>
              <w:rPr>
                <w:rFonts w:ascii="Times" w:eastAsia="Times New Roman" w:hAnsi="Times"/>
                <w:sz w:val="20"/>
                <w:szCs w:val="20"/>
              </w:rPr>
            </w:pPr>
          </w:p>
        </w:tc>
      </w:tr>
      <w:tr w:rsidR="0077745E" w:rsidTr="00972CED">
        <w:trPr>
          <w:trHeight w:val="320"/>
        </w:trPr>
        <w:tc>
          <w:tcPr>
            <w:tcW w:w="171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i/>
                <w:iCs/>
                <w:color w:val="000000"/>
                <w:sz w:val="20"/>
                <w:szCs w:val="20"/>
              </w:rPr>
            </w:pPr>
            <w:r w:rsidRPr="00092660">
              <w:rPr>
                <w:rFonts w:ascii="Times" w:eastAsia="Times New Roman" w:hAnsi="Times"/>
                <w:i/>
                <w:iCs/>
                <w:color w:val="000000"/>
                <w:sz w:val="20"/>
                <w:szCs w:val="20"/>
              </w:rPr>
              <w:t>Undaria pinnatifida</w:t>
            </w:r>
          </w:p>
        </w:tc>
        <w:tc>
          <w:tcPr>
            <w:tcW w:w="207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wakame seaweed</w:t>
            </w: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Marine</w:t>
            </w:r>
          </w:p>
        </w:tc>
        <w:tc>
          <w:tcPr>
            <w:tcW w:w="81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Yes</w:t>
            </w: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4 (1.44%)</w:t>
            </w: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16 (45.71%)</w:t>
            </w:r>
          </w:p>
        </w:tc>
        <w:tc>
          <w:tcPr>
            <w:tcW w:w="1350" w:type="dxa"/>
            <w:tcBorders>
              <w:top w:val="nil"/>
              <w:left w:val="nil"/>
              <w:bottom w:val="single" w:sz="4" w:space="0" w:color="auto"/>
              <w:right w:val="nil"/>
            </w:tcBorders>
            <w:shd w:val="clear" w:color="auto" w:fill="auto"/>
            <w:noWrap/>
            <w:vAlign w:val="bottom"/>
            <w:hideMark/>
          </w:tcPr>
          <w:p w:rsidR="0077745E" w:rsidRPr="00092660" w:rsidRDefault="0077745E" w:rsidP="00972CED">
            <w:pPr>
              <w:jc w:val="center"/>
              <w:rPr>
                <w:rFonts w:ascii="Times" w:eastAsia="Times New Roman" w:hAnsi="Times"/>
                <w:color w:val="000000"/>
                <w:sz w:val="20"/>
                <w:szCs w:val="20"/>
              </w:rPr>
            </w:pPr>
            <w:r w:rsidRPr="00092660">
              <w:rPr>
                <w:rFonts w:ascii="Times" w:eastAsia="Times New Roman" w:hAnsi="Times"/>
                <w:color w:val="000000"/>
                <w:sz w:val="20"/>
                <w:szCs w:val="20"/>
              </w:rPr>
              <w:t>58 (41.13%)</w:t>
            </w:r>
          </w:p>
        </w:tc>
      </w:tr>
    </w:tbl>
    <w:p w:rsidR="0077745E" w:rsidRDefault="0077745E" w:rsidP="0077745E">
      <w:pPr>
        <w:jc w:val="center"/>
      </w:pPr>
    </w:p>
    <w:p w:rsidR="0077745E" w:rsidRDefault="0077745E" w:rsidP="0077745E"/>
    <w:p w:rsidR="00FC59EA" w:rsidRPr="007258C3" w:rsidRDefault="00FC59EA" w:rsidP="00FC59EA">
      <w:pPr>
        <w:rPr>
          <w:i/>
        </w:rPr>
      </w:pPr>
      <w:bookmarkStart w:id="0" w:name="_GoBack"/>
      <w:bookmarkEnd w:id="0"/>
    </w:p>
    <w:p w:rsidR="00FC59EA" w:rsidRDefault="00FC59EA" w:rsidP="00FC59EA"/>
    <w:p w:rsidR="00FC59EA" w:rsidRDefault="00FC59EA" w:rsidP="00FC59EA"/>
    <w:p w:rsidR="00C8221F" w:rsidRDefault="0077745E"/>
    <w:sectPr w:rsidR="00C8221F" w:rsidSect="006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F20"/>
    <w:rsid w:val="00143AA7"/>
    <w:rsid w:val="00163694"/>
    <w:rsid w:val="004F2F20"/>
    <w:rsid w:val="005C4425"/>
    <w:rsid w:val="005F749C"/>
    <w:rsid w:val="00600F0C"/>
    <w:rsid w:val="00755A3E"/>
    <w:rsid w:val="0077745E"/>
    <w:rsid w:val="00BD6CED"/>
    <w:rsid w:val="00E50019"/>
    <w:rsid w:val="00FC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24B23"/>
  <w14:defaultImageDpi w14:val="32767"/>
  <w15:chartTrackingRefBased/>
  <w15:docId w15:val="{C23CB1BB-9496-3E46-BF1F-490902BD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59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1204</Characters>
  <Application>Microsoft Office Word</Application>
  <DocSecurity>0</DocSecurity>
  <Lines>10</Lines>
  <Paragraphs>2</Paragraphs>
  <ScaleCrop>false</ScaleCrop>
  <Company>King Abdullah University of Science and Technology</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Geraldi</dc:creator>
  <cp:keywords/>
  <dc:description/>
  <cp:lastModifiedBy>Nathan Geraldi</cp:lastModifiedBy>
  <cp:revision>3</cp:revision>
  <dcterms:created xsi:type="dcterms:W3CDTF">2019-04-11T06:10:00Z</dcterms:created>
  <dcterms:modified xsi:type="dcterms:W3CDTF">2019-04-11T06:11:00Z</dcterms:modified>
</cp:coreProperties>
</file>