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81F16" w14:textId="20ABEE48" w:rsidR="00945514" w:rsidRPr="003A773B" w:rsidRDefault="00EA2BB1" w:rsidP="00550B97">
      <w:pPr>
        <w:rPr>
          <w:b/>
          <w:sz w:val="36"/>
          <w:szCs w:val="36"/>
        </w:rPr>
      </w:pPr>
      <w:r>
        <w:rPr>
          <w:b/>
          <w:sz w:val="36"/>
          <w:szCs w:val="36"/>
        </w:rPr>
        <w:t>S1 Appendix</w:t>
      </w:r>
      <w:r w:rsidR="006355A0" w:rsidRPr="003A773B">
        <w:rPr>
          <w:rFonts w:hint="eastAsia"/>
          <w:b/>
          <w:sz w:val="36"/>
          <w:szCs w:val="36"/>
        </w:rPr>
        <w:t xml:space="preserve">: </w:t>
      </w:r>
      <w:r w:rsidR="00F971A7" w:rsidRPr="003A773B">
        <w:rPr>
          <w:rFonts w:hint="eastAsia"/>
          <w:b/>
          <w:sz w:val="36"/>
          <w:szCs w:val="36"/>
        </w:rPr>
        <w:t>Mathematical formulation and data sources</w:t>
      </w:r>
    </w:p>
    <w:p w14:paraId="73B9E836" w14:textId="77777777" w:rsidR="00152B6B" w:rsidRDefault="00152B6B" w:rsidP="00152B6B">
      <w:pPr>
        <w:jc w:val="both"/>
        <w:outlineLvl w:val="0"/>
        <w:rPr>
          <w:rFonts w:eastAsia="DengXian"/>
          <w:sz w:val="22"/>
          <w:szCs w:val="22"/>
        </w:rPr>
      </w:pPr>
    </w:p>
    <w:p w14:paraId="66114F32" w14:textId="51C3066F" w:rsidR="00945514" w:rsidRPr="00152B6B" w:rsidRDefault="00152B6B" w:rsidP="00152B6B">
      <w:pPr>
        <w:jc w:val="both"/>
        <w:outlineLvl w:val="0"/>
        <w:rPr>
          <w:rFonts w:eastAsia="DengXian"/>
          <w:sz w:val="22"/>
          <w:szCs w:val="22"/>
        </w:rPr>
      </w:pPr>
      <w:r w:rsidRPr="00152B6B">
        <w:rPr>
          <w:rFonts w:eastAsia="DengXian"/>
          <w:sz w:val="22"/>
          <w:szCs w:val="22"/>
        </w:rPr>
        <w:t>In this S1 Appendix to the PLOS ONE paper “The macroeconomic burden of noncommunicable diseases associated with air pollution in China</w:t>
      </w:r>
      <w:r>
        <w:rPr>
          <w:rFonts w:eastAsia="DengXian" w:hint="eastAsia"/>
          <w:sz w:val="22"/>
          <w:szCs w:val="22"/>
        </w:rPr>
        <w:t>,</w:t>
      </w:r>
      <w:r w:rsidRPr="00152B6B">
        <w:rPr>
          <w:rFonts w:eastAsia="DengXian"/>
          <w:sz w:val="22"/>
          <w:szCs w:val="22"/>
        </w:rPr>
        <w:t>” we provide the mathematical formulation of our model</w:t>
      </w:r>
      <w:r>
        <w:rPr>
          <w:rFonts w:eastAsia="DengXian"/>
          <w:sz w:val="22"/>
          <w:szCs w:val="22"/>
        </w:rPr>
        <w:t xml:space="preserve"> and </w:t>
      </w:r>
      <w:r w:rsidRPr="00152B6B">
        <w:rPr>
          <w:rFonts w:eastAsia="DengXian"/>
          <w:sz w:val="22"/>
          <w:szCs w:val="22"/>
        </w:rPr>
        <w:t>information on the data sources.</w:t>
      </w:r>
    </w:p>
    <w:p w14:paraId="0F936338" w14:textId="77777777" w:rsidR="00B01EA1" w:rsidRDefault="00B01EA1" w:rsidP="00E11F60">
      <w:pPr>
        <w:rPr>
          <w:b/>
        </w:rPr>
      </w:pPr>
    </w:p>
    <w:p w14:paraId="4CB90D95" w14:textId="054E2621" w:rsidR="00045255" w:rsidRPr="00152B6B" w:rsidRDefault="00A133F7" w:rsidP="00E11F60">
      <w:pPr>
        <w:widowControl w:val="0"/>
        <w:autoSpaceDE w:val="0"/>
        <w:autoSpaceDN w:val="0"/>
        <w:adjustRightInd w:val="0"/>
        <w:rPr>
          <w:sz w:val="36"/>
          <w:szCs w:val="36"/>
        </w:rPr>
      </w:pPr>
      <w:r w:rsidRPr="00152B6B">
        <w:rPr>
          <w:rFonts w:hint="eastAsia"/>
          <w:b/>
          <w:sz w:val="36"/>
          <w:szCs w:val="36"/>
        </w:rPr>
        <w:t>A</w:t>
      </w:r>
      <w:r w:rsidR="00045255" w:rsidRPr="00152B6B">
        <w:rPr>
          <w:rFonts w:hint="eastAsia"/>
          <w:b/>
          <w:sz w:val="36"/>
          <w:szCs w:val="36"/>
        </w:rPr>
        <w:t xml:space="preserve">. Mathematical </w:t>
      </w:r>
      <w:r w:rsidR="00EA2BB1">
        <w:rPr>
          <w:b/>
          <w:sz w:val="36"/>
          <w:szCs w:val="36"/>
        </w:rPr>
        <w:t>f</w:t>
      </w:r>
      <w:r w:rsidR="00045255" w:rsidRPr="00152B6B">
        <w:rPr>
          <w:rFonts w:hint="eastAsia"/>
          <w:b/>
          <w:sz w:val="36"/>
          <w:szCs w:val="36"/>
        </w:rPr>
        <w:t>ormulation</w:t>
      </w:r>
    </w:p>
    <w:p w14:paraId="724AD8BB" w14:textId="77777777" w:rsidR="00045255" w:rsidRPr="006355A0" w:rsidRDefault="00045255" w:rsidP="00E11F60">
      <w:pPr>
        <w:widowControl w:val="0"/>
        <w:autoSpaceDE w:val="0"/>
        <w:autoSpaceDN w:val="0"/>
        <w:adjustRightInd w:val="0"/>
      </w:pPr>
    </w:p>
    <w:p w14:paraId="3C696257" w14:textId="22198141" w:rsidR="00045255" w:rsidRPr="00152B6B" w:rsidRDefault="00045255" w:rsidP="00E11F60">
      <w:pPr>
        <w:widowControl w:val="0"/>
        <w:autoSpaceDE w:val="0"/>
        <w:autoSpaceDN w:val="0"/>
        <w:adjustRightInd w:val="0"/>
        <w:rPr>
          <w:b/>
          <w:sz w:val="32"/>
          <w:szCs w:val="32"/>
        </w:rPr>
      </w:pPr>
      <w:r w:rsidRPr="00152B6B">
        <w:rPr>
          <w:b/>
          <w:sz w:val="32"/>
          <w:szCs w:val="32"/>
        </w:rPr>
        <w:t xml:space="preserve">Modeling </w:t>
      </w:r>
      <w:r w:rsidR="00EA2BB1">
        <w:rPr>
          <w:b/>
          <w:sz w:val="32"/>
          <w:szCs w:val="32"/>
        </w:rPr>
        <w:t>d</w:t>
      </w:r>
      <w:r w:rsidRPr="00152B6B">
        <w:rPr>
          <w:b/>
          <w:sz w:val="32"/>
          <w:szCs w:val="32"/>
        </w:rPr>
        <w:t>etails</w:t>
      </w:r>
    </w:p>
    <w:p w14:paraId="31EE665E" w14:textId="77777777" w:rsidR="00045255" w:rsidRPr="006355A0" w:rsidRDefault="00045255" w:rsidP="00E11F60">
      <w:pPr>
        <w:widowControl w:val="0"/>
        <w:autoSpaceDE w:val="0"/>
        <w:autoSpaceDN w:val="0"/>
        <w:adjustRightInd w:val="0"/>
      </w:pPr>
    </w:p>
    <w:p w14:paraId="21D9F7EC" w14:textId="3127876C" w:rsidR="00045255" w:rsidRPr="00152B6B" w:rsidRDefault="00045255" w:rsidP="00E11F60">
      <w:pPr>
        <w:widowControl w:val="0"/>
        <w:autoSpaceDE w:val="0"/>
        <w:autoSpaceDN w:val="0"/>
        <w:adjustRightInd w:val="0"/>
        <w:rPr>
          <w:sz w:val="22"/>
          <w:szCs w:val="22"/>
        </w:rPr>
      </w:pPr>
      <w:r w:rsidRPr="00152B6B">
        <w:rPr>
          <w:sz w:val="22"/>
          <w:szCs w:val="22"/>
        </w:rPr>
        <w:t>In this analysis, we quantify its impact on economic outputs through the increasing prevalence of noncommunicable diseases. For each disease, we first identify the disease burden</w:t>
      </w:r>
      <w:r w:rsidR="00283FAC" w:rsidRPr="00283FAC">
        <w:rPr>
          <w:sz w:val="22"/>
          <w:szCs w:val="22"/>
        </w:rPr>
        <w:t xml:space="preserve"> </w:t>
      </w:r>
      <w:r w:rsidR="000D23E5">
        <w:rPr>
          <w:rFonts w:hint="eastAsia"/>
          <w:sz w:val="22"/>
          <w:szCs w:val="22"/>
        </w:rPr>
        <w:t>associated with</w:t>
      </w:r>
      <w:r w:rsidR="00283FAC" w:rsidRPr="00152B6B">
        <w:rPr>
          <w:sz w:val="22"/>
          <w:szCs w:val="22"/>
        </w:rPr>
        <w:t xml:space="preserve"> air pollution</w:t>
      </w:r>
      <w:r w:rsidRPr="00152B6B">
        <w:rPr>
          <w:sz w:val="22"/>
          <w:szCs w:val="22"/>
        </w:rPr>
        <w:t xml:space="preserve"> (in terms of mortality, morbidity, and treatment cost). Then we construct economic projections for the two scenarios of interest following the model in</w:t>
      </w:r>
      <w:r w:rsidR="003E553E" w:rsidRPr="00152B6B">
        <w:rPr>
          <w:rFonts w:hint="eastAsia"/>
          <w:sz w:val="22"/>
          <w:szCs w:val="22"/>
        </w:rPr>
        <w:t xml:space="preserve"> </w:t>
      </w:r>
      <w:r w:rsidR="003E553E" w:rsidRPr="00152B6B">
        <w:rPr>
          <w:sz w:val="22"/>
          <w:szCs w:val="22"/>
        </w:rPr>
        <w:fldChar w:fldCharType="begin"/>
      </w:r>
      <w:r w:rsidR="00F971A7" w:rsidRPr="00152B6B">
        <w:rPr>
          <w:sz w:val="22"/>
          <w:szCs w:val="22"/>
        </w:rPr>
        <w:instrText xml:space="preserve"> ADDIN EN.CITE &lt;EndNote&gt;&lt;Cite&gt;&lt;Author&gt;Bloom&lt;/Author&gt;&lt;Year&gt;2018&lt;/Year&gt;&lt;RecNum&gt;781&lt;/RecNum&gt;&lt;DisplayText&gt;[1]&lt;/DisplayText&gt;&lt;record&gt;&lt;rec-number&gt;781&lt;/rec-number&gt;&lt;foreign-keys&gt;&lt;key app="EN" db-id="2209pvwf8w20erevfr0vavppfap0v2zv5rww" timestamp="1538036668"&gt;781&lt;/key&gt;&lt;/foreign-keys&gt;&lt;ref-type name="Journal Article"&gt;17&lt;/ref-type&gt;&lt;contributors&gt;&lt;authors&gt;&lt;author&gt;Bloom, David E.&lt;/author&gt;&lt;author&gt;Chen, Simiao&lt;/author&gt;&lt;author&gt;Kuhn, Michael&lt;/author&gt;&lt;author&gt;McGovern, Mark E.&lt;/author&gt;&lt;author&gt;Oxley, Les&lt;/author&gt;&lt;author&gt;Prettner, Klaus&lt;/author&gt;&lt;/authors&gt;&lt;/contributors&gt;&lt;titles&gt;&lt;title&gt;The economic burden of chronic diseases: estimates and projections for China, Japan, and South Korea&lt;/title&gt;&lt;secondary-title&gt;The Journal of the Economics of Ageing&lt;/secondary-title&gt;&lt;/titles&gt;&lt;periodical&gt;&lt;full-title&gt;The Journal of the Economics of Ageing&lt;/full-title&gt;&lt;/periodical&gt;&lt;keywords&gt;&lt;keyword&gt;Non-communicable Diseases&lt;/keyword&gt;&lt;keyword&gt;Human Capital&lt;/keyword&gt;&lt;keyword&gt;Health Interventions&lt;/keyword&gt;&lt;keyword&gt;Aggregate Output&lt;/keyword&gt;&lt;keyword&gt;Ageing&lt;/keyword&gt;&lt;keyword&gt;East Asia&lt;/keyword&gt;&lt;keyword&gt;H51&lt;/keyword&gt;&lt;keyword&gt;I15&lt;/keyword&gt;&lt;keyword&gt;I18&lt;/keyword&gt;&lt;keyword&gt;J24&lt;/keyword&gt;&lt;keyword&gt;O11&lt;/keyword&gt;&lt;/keywords&gt;&lt;dates&gt;&lt;year&gt;2018&lt;/year&gt;&lt;pub-dates&gt;&lt;date&gt;2018/09/26/&lt;/date&gt;&lt;/pub-dates&gt;&lt;/dates&gt;&lt;isbn&gt;2212-828X&lt;/isbn&gt;&lt;urls&gt;&lt;related-urls&gt;&lt;url&gt;http://www.sciencedirect.com/science/article/pii/S2212828X18300744&lt;/url&gt;&lt;/related-urls&gt;&lt;/urls&gt;&lt;electronic-resource-num&gt;https://doi.org/10.1016/j.jeoa.2018.09.002&lt;/electronic-resource-num&gt;&lt;/record&gt;&lt;/Cite&gt;&lt;/EndNote&gt;</w:instrText>
      </w:r>
      <w:r w:rsidR="003E553E" w:rsidRPr="00152B6B">
        <w:rPr>
          <w:sz w:val="22"/>
          <w:szCs w:val="22"/>
        </w:rPr>
        <w:fldChar w:fldCharType="separate"/>
      </w:r>
      <w:r w:rsidR="00F971A7" w:rsidRPr="00152B6B">
        <w:rPr>
          <w:noProof/>
          <w:sz w:val="22"/>
          <w:szCs w:val="22"/>
        </w:rPr>
        <w:t>[1]</w:t>
      </w:r>
      <w:r w:rsidR="003E553E" w:rsidRPr="00152B6B">
        <w:rPr>
          <w:sz w:val="22"/>
          <w:szCs w:val="22"/>
        </w:rPr>
        <w:fldChar w:fldCharType="end"/>
      </w:r>
      <w:r w:rsidRPr="00152B6B">
        <w:rPr>
          <w:sz w:val="22"/>
          <w:szCs w:val="22"/>
        </w:rPr>
        <w:t>. The economic loss is calculated as the undiscounted cumulative difference in projected annual GDP between these two scenarios.</w:t>
      </w:r>
      <w:r w:rsidRPr="00152B6B">
        <w:rPr>
          <w:rFonts w:hint="eastAsia"/>
          <w:sz w:val="22"/>
          <w:szCs w:val="22"/>
        </w:rPr>
        <w:t xml:space="preserve"> </w:t>
      </w:r>
      <w:r w:rsidRPr="00152B6B">
        <w:rPr>
          <w:sz w:val="22"/>
          <w:szCs w:val="22"/>
        </w:rPr>
        <w:t>The following detailed description of the model follows our previous contributions in which we applied the framework to China, Japan, and South Korea</w:t>
      </w:r>
      <w:r w:rsidR="003E553E" w:rsidRPr="00152B6B">
        <w:rPr>
          <w:rFonts w:hint="eastAsia"/>
          <w:sz w:val="22"/>
          <w:szCs w:val="22"/>
        </w:rPr>
        <w:t xml:space="preserve"> </w:t>
      </w:r>
      <w:r w:rsidR="003E553E" w:rsidRPr="00152B6B">
        <w:rPr>
          <w:sz w:val="22"/>
          <w:szCs w:val="22"/>
        </w:rPr>
        <w:fldChar w:fldCharType="begin"/>
      </w:r>
      <w:r w:rsidR="00F971A7" w:rsidRPr="00152B6B">
        <w:rPr>
          <w:sz w:val="22"/>
          <w:szCs w:val="22"/>
        </w:rPr>
        <w:instrText xml:space="preserve"> ADDIN EN.CITE &lt;EndNote&gt;&lt;Cite&gt;&lt;Author&gt;Bloom&lt;/Author&gt;&lt;Year&gt;2018&lt;/Year&gt;&lt;RecNum&gt;781&lt;/RecNum&gt;&lt;DisplayText&gt;[1]&lt;/DisplayText&gt;&lt;record&gt;&lt;rec-number&gt;781&lt;/rec-number&gt;&lt;foreign-keys&gt;&lt;key app="EN" db-id="2209pvwf8w20erevfr0vavppfap0v2zv5rww" timestamp="1538036668"&gt;781&lt;/key&gt;&lt;/foreign-keys&gt;&lt;ref-type name="Journal Article"&gt;17&lt;/ref-type&gt;&lt;contributors&gt;&lt;authors&gt;&lt;author&gt;Bloom, David E.&lt;/author&gt;&lt;author&gt;Chen, Simiao&lt;/author&gt;&lt;author&gt;Kuhn, Michael&lt;/author&gt;&lt;author&gt;McGovern, Mark E.&lt;/author&gt;&lt;author&gt;Oxley, Les&lt;/author&gt;&lt;author&gt;Prettner, Klaus&lt;/author&gt;&lt;/authors&gt;&lt;/contributors&gt;&lt;titles&gt;&lt;title&gt;The economic burden of chronic diseases: estimates and projections for China, Japan, and South Korea&lt;/title&gt;&lt;secondary-title&gt;The Journal of the Economics of Ageing&lt;/secondary-title&gt;&lt;/titles&gt;&lt;periodical&gt;&lt;full-title&gt;The Journal of the Economics of Ageing&lt;/full-title&gt;&lt;/periodical&gt;&lt;keywords&gt;&lt;keyword&gt;Non-communicable Diseases&lt;/keyword&gt;&lt;keyword&gt;Human Capital&lt;/keyword&gt;&lt;keyword&gt;Health Interventions&lt;/keyword&gt;&lt;keyword&gt;Aggregate Output&lt;/keyword&gt;&lt;keyword&gt;Ageing&lt;/keyword&gt;&lt;keyword&gt;East Asia&lt;/keyword&gt;&lt;keyword&gt;H51&lt;/keyword&gt;&lt;keyword&gt;I15&lt;/keyword&gt;&lt;keyword&gt;I18&lt;/keyword&gt;&lt;keyword&gt;J24&lt;/keyword&gt;&lt;keyword&gt;O11&lt;/keyword&gt;&lt;/keywords&gt;&lt;dates&gt;&lt;year&gt;2018&lt;/year&gt;&lt;pub-dates&gt;&lt;date&gt;2018/09/26/&lt;/date&gt;&lt;/pub-dates&gt;&lt;/dates&gt;&lt;isbn&gt;2212-828X&lt;/isbn&gt;&lt;urls&gt;&lt;related-urls&gt;&lt;url&gt;http://www.sciencedirect.com/science/article/pii/S2212828X18300744&lt;/url&gt;&lt;/related-urls&gt;&lt;/urls&gt;&lt;electronic-resource-num&gt;https://doi.org/10.1016/j.jeoa.2018.09.002&lt;/electronic-resource-num&gt;&lt;/record&gt;&lt;/Cite&gt;&lt;/EndNote&gt;</w:instrText>
      </w:r>
      <w:r w:rsidR="003E553E" w:rsidRPr="00152B6B">
        <w:rPr>
          <w:sz w:val="22"/>
          <w:szCs w:val="22"/>
        </w:rPr>
        <w:fldChar w:fldCharType="separate"/>
      </w:r>
      <w:r w:rsidR="00F971A7" w:rsidRPr="00152B6B">
        <w:rPr>
          <w:noProof/>
          <w:sz w:val="22"/>
          <w:szCs w:val="22"/>
        </w:rPr>
        <w:t>[1]</w:t>
      </w:r>
      <w:r w:rsidR="003E553E" w:rsidRPr="00152B6B">
        <w:rPr>
          <w:sz w:val="22"/>
          <w:szCs w:val="22"/>
        </w:rPr>
        <w:fldChar w:fldCharType="end"/>
      </w:r>
      <w:r w:rsidR="00025F34">
        <w:rPr>
          <w:rFonts w:hint="eastAsia"/>
          <w:sz w:val="22"/>
          <w:szCs w:val="22"/>
        </w:rPr>
        <w:t xml:space="preserve"> and </w:t>
      </w:r>
      <w:r w:rsidR="00283FAC">
        <w:rPr>
          <w:sz w:val="22"/>
          <w:szCs w:val="22"/>
        </w:rPr>
        <w:t xml:space="preserve">to </w:t>
      </w:r>
      <w:r w:rsidR="00025F34">
        <w:rPr>
          <w:rFonts w:hint="eastAsia"/>
          <w:sz w:val="22"/>
          <w:szCs w:val="22"/>
        </w:rPr>
        <w:t>the United States</w:t>
      </w:r>
      <w:r w:rsidR="006C1364">
        <w:rPr>
          <w:rFonts w:hint="eastAsia"/>
          <w:sz w:val="22"/>
          <w:szCs w:val="22"/>
        </w:rPr>
        <w:t xml:space="preserve"> </w:t>
      </w:r>
      <w:r w:rsidR="006C1364">
        <w:rPr>
          <w:sz w:val="22"/>
          <w:szCs w:val="22"/>
        </w:rPr>
        <w:fldChar w:fldCharType="begin"/>
      </w:r>
      <w:r w:rsidR="006C1364">
        <w:rPr>
          <w:sz w:val="22"/>
          <w:szCs w:val="22"/>
        </w:rPr>
        <w:instrText xml:space="preserve"> ADDIN EN.CITE &lt;EndNote&gt;&lt;Cite&gt;&lt;Author&gt;Chen&lt;/Author&gt;&lt;Year&gt;2018&lt;/Year&gt;&lt;RecNum&gt;910&lt;/RecNum&gt;&lt;DisplayText&gt;[2]&lt;/DisplayText&gt;&lt;record&gt;&lt;rec-number&gt;910&lt;/rec-number&gt;&lt;foreign-keys&gt;&lt;key app="EN" db-id="2209pvwf8w20erevfr0vavppfap0v2zv5rww" timestamp="1541150311"&gt;910&lt;/key&gt;&lt;/foreign-keys&gt;&lt;ref-type name="Journal Article"&gt;17&lt;/ref-type&gt;&lt;contributors&gt;&lt;authors&gt;&lt;author&gt;Chen, Simiao&lt;/author&gt;&lt;author&gt;Kuhn, Michael&lt;/author&gt;&lt;author&gt;Prettner, Klaus&lt;/author&gt;&lt;author&gt;Bloom, David E.&lt;/author&gt;&lt;/authors&gt;&lt;/contributors&gt;&lt;titles&gt;&lt;title&gt;The macroeconomic burden of noncommunicable diseases in the United States: Estimates and projections&lt;/title&gt;&lt;secondary-title&gt;PLOS ONE&lt;/secondary-title&gt;&lt;/titles&gt;&lt;periodical&gt;&lt;full-title&gt;PloS One&lt;/full-title&gt;&lt;abbr-1&gt;PLoS One&lt;/abbr-1&gt;&lt;abbr-2&gt;PLoS One&lt;/abbr-2&gt;&lt;/periodical&gt;&lt;pages&gt;e0206702&lt;/pages&gt;&lt;volume&gt;13&lt;/volume&gt;&lt;number&gt;11&lt;/number&gt;&lt;dates&gt;&lt;year&gt;2018&lt;/year&gt;&lt;/dates&gt;&lt;publisher&gt;Public Library of Science&lt;/publisher&gt;&lt;urls&gt;&lt;related-urls&gt;&lt;url&gt;https://doi.org/10.1371/journal.pone.0206702&lt;/url&gt;&lt;/related-urls&gt;&lt;/urls&gt;&lt;electronic-resource-num&gt;10.1371/journal.pone.0206702&lt;/electronic-resource-num&gt;&lt;/record&gt;&lt;/Cite&gt;&lt;/EndNote&gt;</w:instrText>
      </w:r>
      <w:r w:rsidR="006C1364">
        <w:rPr>
          <w:sz w:val="22"/>
          <w:szCs w:val="22"/>
        </w:rPr>
        <w:fldChar w:fldCharType="separate"/>
      </w:r>
      <w:r w:rsidR="006C1364">
        <w:rPr>
          <w:noProof/>
          <w:sz w:val="22"/>
          <w:szCs w:val="22"/>
        </w:rPr>
        <w:t>[2]</w:t>
      </w:r>
      <w:r w:rsidR="006C1364">
        <w:rPr>
          <w:sz w:val="22"/>
          <w:szCs w:val="22"/>
        </w:rPr>
        <w:fldChar w:fldCharType="end"/>
      </w:r>
      <w:r w:rsidR="00025F34">
        <w:rPr>
          <w:rFonts w:hint="eastAsia"/>
          <w:sz w:val="22"/>
          <w:szCs w:val="22"/>
        </w:rPr>
        <w:t>.</w:t>
      </w:r>
    </w:p>
    <w:p w14:paraId="4208CF0F" w14:textId="77777777" w:rsidR="00045255" w:rsidRPr="006355A0" w:rsidRDefault="00045255" w:rsidP="00E11F60">
      <w:pPr>
        <w:widowControl w:val="0"/>
        <w:autoSpaceDE w:val="0"/>
        <w:autoSpaceDN w:val="0"/>
        <w:adjustRightInd w:val="0"/>
      </w:pPr>
    </w:p>
    <w:p w14:paraId="66FC405F" w14:textId="00D01A3D" w:rsidR="00045255" w:rsidRPr="00152B6B" w:rsidRDefault="00045255" w:rsidP="00E11F60">
      <w:pPr>
        <w:widowControl w:val="0"/>
        <w:autoSpaceDE w:val="0"/>
        <w:autoSpaceDN w:val="0"/>
        <w:adjustRightInd w:val="0"/>
        <w:rPr>
          <w:b/>
          <w:sz w:val="32"/>
          <w:szCs w:val="32"/>
        </w:rPr>
      </w:pPr>
      <w:r w:rsidRPr="00152B6B">
        <w:rPr>
          <w:b/>
          <w:sz w:val="32"/>
          <w:szCs w:val="32"/>
        </w:rPr>
        <w:t xml:space="preserve">Production </w:t>
      </w:r>
      <w:r w:rsidR="00EA2BB1">
        <w:rPr>
          <w:b/>
          <w:sz w:val="32"/>
          <w:szCs w:val="32"/>
        </w:rPr>
        <w:t>f</w:t>
      </w:r>
      <w:r w:rsidRPr="00152B6B">
        <w:rPr>
          <w:b/>
          <w:sz w:val="32"/>
          <w:szCs w:val="32"/>
        </w:rPr>
        <w:t>unction</w:t>
      </w:r>
    </w:p>
    <w:p w14:paraId="763E791D" w14:textId="77777777" w:rsidR="00045255" w:rsidRPr="006355A0" w:rsidRDefault="00045255" w:rsidP="00E11F60">
      <w:pPr>
        <w:widowControl w:val="0"/>
        <w:autoSpaceDE w:val="0"/>
        <w:autoSpaceDN w:val="0"/>
        <w:adjustRightInd w:val="0"/>
      </w:pPr>
    </w:p>
    <w:p w14:paraId="55B9505C" w14:textId="354827BE" w:rsidR="00045255" w:rsidRPr="00152B6B" w:rsidRDefault="00045255" w:rsidP="00E11F60">
      <w:pPr>
        <w:widowControl w:val="0"/>
        <w:autoSpaceDE w:val="0"/>
        <w:autoSpaceDN w:val="0"/>
        <w:adjustRightInd w:val="0"/>
        <w:rPr>
          <w:sz w:val="22"/>
          <w:szCs w:val="22"/>
        </w:rPr>
      </w:pPr>
      <w:r w:rsidRPr="00152B6B">
        <w:rPr>
          <w:rFonts w:hint="eastAsia"/>
          <w:sz w:val="22"/>
          <w:szCs w:val="22"/>
        </w:rPr>
        <w:t xml:space="preserve">Consider an economy </w:t>
      </w:r>
      <w:r w:rsidRPr="00152B6B">
        <w:rPr>
          <w:sz w:val="22"/>
          <w:szCs w:val="22"/>
        </w:rPr>
        <w:t>in which time</w:t>
      </w:r>
      <w:r w:rsidRPr="00152B6B">
        <w:rPr>
          <w:rFonts w:hint="eastAsia"/>
          <w:sz w:val="22"/>
          <w:szCs w:val="22"/>
        </w:rPr>
        <w:t xml:space="preserve"> </w:t>
      </w:r>
      <m:oMath>
        <m:r>
          <w:rPr>
            <w:rFonts w:ascii="Cambria Math" w:hAnsi="Cambria Math"/>
            <w:sz w:val="22"/>
            <w:szCs w:val="22"/>
          </w:rPr>
          <m:t>t∈</m:t>
        </m:r>
        <m:d>
          <m:dPr>
            <m:begChr m:val="["/>
            <m:endChr m:val="]"/>
            <m:ctrlPr>
              <w:rPr>
                <w:rFonts w:ascii="Cambria Math" w:hAnsi="Cambria Math"/>
                <w:sz w:val="22"/>
                <w:szCs w:val="22"/>
              </w:rPr>
            </m:ctrlPr>
          </m:dPr>
          <m:e>
            <m:r>
              <m:rPr>
                <m:sty m:val="p"/>
              </m:rPr>
              <w:rPr>
                <w:rFonts w:ascii="Cambria Math" w:hAnsi="Cambria Math"/>
                <w:sz w:val="22"/>
                <w:szCs w:val="22"/>
              </w:rPr>
              <m:t>0, ∞</m:t>
            </m:r>
          </m:e>
        </m:d>
      </m:oMath>
      <w:r w:rsidRPr="00152B6B">
        <w:rPr>
          <w:rFonts w:hint="eastAsia"/>
          <w:sz w:val="22"/>
          <w:szCs w:val="22"/>
        </w:rPr>
        <w:t xml:space="preserve"> evolves discretely. </w:t>
      </w:r>
      <w:r w:rsidRPr="00152B6B">
        <w:rPr>
          <w:sz w:val="22"/>
          <w:szCs w:val="22"/>
        </w:rPr>
        <w:t>Building upon Lucas</w:t>
      </w:r>
      <w:r w:rsidR="00025F34">
        <w:rPr>
          <w:sz w:val="22"/>
          <w:szCs w:val="22"/>
        </w:rPr>
        <w:t xml:space="preserve"> </w:t>
      </w:r>
      <w:r w:rsidRPr="00152B6B">
        <w:rPr>
          <w:sz w:val="22"/>
          <w:szCs w:val="22"/>
        </w:rPr>
        <w:fldChar w:fldCharType="begin"/>
      </w:r>
      <w:r w:rsidR="00025F34">
        <w:rPr>
          <w:sz w:val="22"/>
          <w:szCs w:val="22"/>
        </w:rPr>
        <w:instrText xml:space="preserve"> ADDIN EN.CITE &lt;EndNote&gt;&lt;Cite&gt;&lt;Author&gt;Lucas&lt;/Author&gt;&lt;Year&gt;1988&lt;/Year&gt;&lt;RecNum&gt;281&lt;/RecNum&gt;&lt;DisplayText&gt;[3]&lt;/DisplayText&gt;&lt;record&gt;&lt;rec-number&gt;281&lt;/rec-number&gt;&lt;foreign-keys&gt;&lt;key app="EN" db-id="2209pvwf8w20erevfr0vavppfap0v2zv5rww" timestamp="1512680278"&gt;281&lt;/key&gt;&lt;/foreign-keys&gt;&lt;ref-type name="Journal Article"&gt;17&lt;/ref-type&gt;&lt;contributors&gt;&lt;authors&gt;&lt;author&gt;Lucas, Robert E&lt;/author&gt;&lt;/authors&gt;&lt;/contributors&gt;&lt;titles&gt;&lt;title&gt;On the mechanics of economic development&lt;/title&gt;&lt;secondary-title&gt;Journal of monetary economics&lt;/secondary-title&gt;&lt;/titles&gt;&lt;periodical&gt;&lt;full-title&gt;Journal of Monetary Economics&lt;/full-title&gt;&lt;abbr-1&gt;J. Monet. Econ.&lt;/abbr-1&gt;&lt;abbr-2&gt;J Monet Econ&lt;/abbr-2&gt;&lt;/periodical&gt;&lt;pages&gt;3-42&lt;/pages&gt;&lt;volume&gt;22&lt;/volume&gt;&lt;number&gt;1&lt;/number&gt;&lt;dates&gt;&lt;year&gt;1988&lt;/year&gt;&lt;/dates&gt;&lt;isbn&gt;0304-3932&lt;/isbn&gt;&lt;urls&gt;&lt;/urls&gt;&lt;/record&gt;&lt;/Cite&gt;&lt;/EndNote&gt;</w:instrText>
      </w:r>
      <w:r w:rsidRPr="00152B6B">
        <w:rPr>
          <w:sz w:val="22"/>
          <w:szCs w:val="22"/>
        </w:rPr>
        <w:fldChar w:fldCharType="separate"/>
      </w:r>
      <w:r w:rsidR="00025F34">
        <w:rPr>
          <w:noProof/>
          <w:sz w:val="22"/>
          <w:szCs w:val="22"/>
        </w:rPr>
        <w:t>[3]</w:t>
      </w:r>
      <w:r w:rsidRPr="00152B6B">
        <w:rPr>
          <w:sz w:val="22"/>
          <w:szCs w:val="22"/>
        </w:rPr>
        <w:fldChar w:fldCharType="end"/>
      </w:r>
      <w:r w:rsidR="00025F34">
        <w:rPr>
          <w:rFonts w:hint="eastAsia"/>
          <w:sz w:val="22"/>
          <w:szCs w:val="22"/>
        </w:rPr>
        <w:t>,</w:t>
      </w:r>
      <w:r w:rsidRPr="00152B6B">
        <w:rPr>
          <w:sz w:val="22"/>
          <w:szCs w:val="22"/>
        </w:rPr>
        <w:t xml:space="preserve"> we consider the following production function for the </w:t>
      </w:r>
      <w:r w:rsidRPr="00152B6B">
        <w:rPr>
          <w:rFonts w:hint="eastAsia"/>
          <w:sz w:val="22"/>
          <w:szCs w:val="22"/>
        </w:rPr>
        <w:t>Chinese</w:t>
      </w:r>
      <w:r w:rsidRPr="00152B6B">
        <w:rPr>
          <w:sz w:val="22"/>
          <w:szCs w:val="22"/>
        </w:rPr>
        <w:t xml:space="preserve"> economy:</w:t>
      </w:r>
    </w:p>
    <w:p w14:paraId="414CB8F5" w14:textId="77777777" w:rsidR="00045255" w:rsidRPr="00152B6B" w:rsidRDefault="00045255" w:rsidP="00E11F60">
      <w:pPr>
        <w:widowControl w:val="0"/>
        <w:autoSpaceDE w:val="0"/>
        <w:autoSpaceDN w:val="0"/>
        <w:adjustRightInd w:val="0"/>
        <w:rPr>
          <w:sz w:val="22"/>
          <w:szCs w:val="22"/>
        </w:rPr>
      </w:pPr>
    </w:p>
    <w:p w14:paraId="3760592F" w14:textId="31403B85" w:rsidR="00045255" w:rsidRPr="00152B6B" w:rsidRDefault="00082FAB" w:rsidP="00E11F60">
      <w:pPr>
        <w:widowControl w:val="0"/>
        <w:autoSpaceDE w:val="0"/>
        <w:autoSpaceDN w:val="0"/>
        <w:adjustRightInd w:val="0"/>
        <w:rPr>
          <w:sz w:val="22"/>
          <w:szCs w:val="22"/>
        </w:rPr>
      </w:pPr>
      <m:oMathPara>
        <m:oMath>
          <m:eqArr>
            <m:eqArrPr>
              <m:maxDist m:val="1"/>
              <m:ctrlPr>
                <w:rPr>
                  <w:rFonts w:ascii="Cambria Math" w:hAnsi="Cambria Math"/>
                  <w:sz w:val="22"/>
                  <w:szCs w:val="22"/>
                </w:rPr>
              </m:ctrlPr>
            </m:eqArrPr>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t</m:t>
                  </m:r>
                </m:sub>
              </m:sSub>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t</m:t>
                  </m:r>
                </m:sub>
                <m:sup>
                  <m:r>
                    <w:rPr>
                      <w:rFonts w:ascii="Cambria Math" w:hAnsi="Cambria Math"/>
                      <w:sz w:val="22"/>
                      <w:szCs w:val="22"/>
                    </w:rPr>
                    <m:t>α</m:t>
                  </m:r>
                </m:sup>
              </m:sSubSup>
              <m:sSubSup>
                <m:sSubSupPr>
                  <m:ctrlPr>
                    <w:rPr>
                      <w:rFonts w:ascii="Cambria Math" w:hAnsi="Cambria Math"/>
                      <w:i/>
                      <w:sz w:val="22"/>
                      <w:szCs w:val="22"/>
                    </w:rPr>
                  </m:ctrlPr>
                </m:sSubSupPr>
                <m:e>
                  <m:r>
                    <w:rPr>
                      <w:rFonts w:ascii="Cambria Math" w:hAnsi="Cambria Math"/>
                      <w:sz w:val="22"/>
                      <w:szCs w:val="22"/>
                    </w:rPr>
                    <m:t>H</m:t>
                  </m:r>
                </m:e>
                <m:sub>
                  <m:r>
                    <w:rPr>
                      <w:rFonts w:ascii="Cambria Math" w:hAnsi="Cambria Math"/>
                      <w:sz w:val="22"/>
                      <w:szCs w:val="22"/>
                    </w:rPr>
                    <m:t>t</m:t>
                  </m:r>
                </m:sub>
                <m:sup>
                  <m:r>
                    <w:rPr>
                      <w:rFonts w:ascii="Cambria Math" w:hAnsi="Cambria Math"/>
                      <w:sz w:val="22"/>
                      <w:szCs w:val="22"/>
                    </w:rPr>
                    <m:t>1-α</m:t>
                  </m:r>
                </m:sup>
              </m:sSubSup>
              <m: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m:t>
                  </m:r>
                </m:e>
              </m:d>
              <m:ctrlPr>
                <w:rPr>
                  <w:rFonts w:ascii="Cambria Math" w:hAnsi="Cambria Math"/>
                  <w:i/>
                  <w:sz w:val="22"/>
                  <w:szCs w:val="22"/>
                </w:rPr>
              </m:ctrlPr>
            </m:e>
          </m:eqArr>
        </m:oMath>
      </m:oMathPara>
    </w:p>
    <w:p w14:paraId="064A332C" w14:textId="77777777" w:rsidR="00045255" w:rsidRPr="00152B6B" w:rsidRDefault="00045255" w:rsidP="00E11F60">
      <w:pPr>
        <w:widowControl w:val="0"/>
        <w:autoSpaceDE w:val="0"/>
        <w:autoSpaceDN w:val="0"/>
        <w:adjustRightInd w:val="0"/>
        <w:rPr>
          <w:sz w:val="22"/>
          <w:szCs w:val="22"/>
        </w:rPr>
      </w:pPr>
    </w:p>
    <w:p w14:paraId="6799E351" w14:textId="23C3588D" w:rsidR="00045255" w:rsidRPr="00152B6B" w:rsidRDefault="00045255" w:rsidP="00E11F60">
      <w:pPr>
        <w:widowControl w:val="0"/>
        <w:autoSpaceDE w:val="0"/>
        <w:autoSpaceDN w:val="0"/>
        <w:adjustRightInd w:val="0"/>
        <w:rPr>
          <w:sz w:val="22"/>
          <w:szCs w:val="22"/>
        </w:rPr>
      </w:pPr>
      <w:r w:rsidRPr="00152B6B">
        <w:rPr>
          <w:sz w:val="22"/>
          <w:szCs w:val="22"/>
        </w:rPr>
        <w:t xml:space="preserve">where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t</m:t>
            </m:r>
          </m:sub>
        </m:sSub>
      </m:oMath>
      <w:r w:rsidRPr="00152B6B">
        <w:rPr>
          <w:sz w:val="22"/>
          <w:szCs w:val="22"/>
        </w:rPr>
        <w:t xml:space="preserve"> is the technological level at time </w:t>
      </w:r>
      <m:oMath>
        <m:r>
          <w:rPr>
            <w:rFonts w:ascii="Cambria Math" w:hAnsi="Cambria Math"/>
            <w:sz w:val="22"/>
            <w:szCs w:val="22"/>
          </w:rPr>
          <m:t>t</m:t>
        </m:r>
      </m:oMath>
      <w:r w:rsidRPr="00152B6B">
        <w:rPr>
          <w:sz w:val="22"/>
          <w:szCs w:val="22"/>
        </w:rPr>
        <w:t xml:space="preserve"> that we assume evolves exogenously,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t</m:t>
            </m:r>
          </m:sub>
        </m:sSub>
      </m:oMath>
      <w:r w:rsidRPr="00152B6B">
        <w:rPr>
          <w:sz w:val="22"/>
          <w:szCs w:val="22"/>
        </w:rPr>
        <w:t xml:space="preserve"> is the physical capital stock (i.e., machines, factory buildings, etc.), and </w:t>
      </w:r>
      <m:oMath>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t</m:t>
            </m:r>
          </m:sub>
        </m:sSub>
      </m:oMath>
      <w:r w:rsidRPr="00152B6B">
        <w:rPr>
          <w:sz w:val="22"/>
          <w:szCs w:val="22"/>
        </w:rPr>
        <w:t xml:space="preserve"> represents aggregate human capital. The parameter </w:t>
      </w:r>
      <m:oMath>
        <m:r>
          <w:rPr>
            <w:rFonts w:ascii="Cambria Math" w:hAnsi="Cambria Math"/>
            <w:sz w:val="22"/>
            <w:szCs w:val="22"/>
          </w:rPr>
          <m:t>α</m:t>
        </m:r>
      </m:oMath>
      <w:r w:rsidRPr="00152B6B">
        <w:rPr>
          <w:sz w:val="22"/>
          <w:szCs w:val="22"/>
        </w:rPr>
        <w:t xml:space="preserve"> is the elasticity of final output with respect to physical capital. The aggregate production function takes into account that output is not only produced with physical capital and </w:t>
      </w:r>
      <w:r w:rsidRPr="00152B6B">
        <w:rPr>
          <w:i/>
          <w:sz w:val="22"/>
          <w:szCs w:val="22"/>
        </w:rPr>
        <w:t>raw labor,</w:t>
      </w:r>
      <w:r w:rsidRPr="00152B6B">
        <w:rPr>
          <w:sz w:val="22"/>
          <w:szCs w:val="22"/>
        </w:rPr>
        <w:t xml:space="preserve"> as in the Solow framework </w:t>
      </w:r>
      <w:r w:rsidRPr="00152B6B">
        <w:rPr>
          <w:sz w:val="22"/>
          <w:szCs w:val="22"/>
        </w:rPr>
        <w:fldChar w:fldCharType="begin"/>
      </w:r>
      <w:r w:rsidR="00025F34">
        <w:rPr>
          <w:sz w:val="22"/>
          <w:szCs w:val="22"/>
        </w:rPr>
        <w:instrText xml:space="preserve"> ADDIN EN.CITE &lt;EndNote&gt;&lt;Cite&gt;&lt;Author&gt;Solow&lt;/Author&gt;&lt;Year&gt;1956&lt;/Year&gt;&lt;RecNum&gt;126&lt;/RecNum&gt;&lt;DisplayText&gt;[4]&lt;/DisplayText&gt;&lt;record&gt;&lt;rec-number&gt;126&lt;/rec-number&gt;&lt;foreign-keys&gt;&lt;key app="EN" db-id="2209pvwf8w20erevfr0vavppfap0v2zv5rww" timestamp="1509287455"&gt;126&lt;/key&gt;&lt;/foreign-keys&gt;&lt;ref-type name="Journal Article"&gt;17&lt;/ref-type&gt;&lt;contributors&gt;&lt;authors&gt;&lt;author&gt;Solow, Robert M&lt;/author&gt;&lt;/authors&gt;&lt;/contributors&gt;&lt;titles&gt;&lt;title&gt;A contribution to the theory of economic growth&lt;/title&gt;&lt;secondary-title&gt;The Quarterly Journal of Economics&lt;/secondary-title&gt;&lt;/titles&gt;&lt;periodical&gt;&lt;full-title&gt;The Quarterly Journal of Economics&lt;/full-title&gt;&lt;/periodical&gt;&lt;pages&gt;65–94&lt;/pages&gt;&lt;volume&gt;70&lt;/volume&gt;&lt;number&gt;1&lt;/number&gt;&lt;dates&gt;&lt;year&gt;1956&lt;/year&gt;&lt;/dates&gt;&lt;isbn&gt;1531-4650&lt;/isbn&gt;&lt;urls&gt;&lt;/urls&gt;&lt;/record&gt;&lt;/Cite&gt;&lt;/EndNote&gt;</w:instrText>
      </w:r>
      <w:r w:rsidRPr="00152B6B">
        <w:rPr>
          <w:sz w:val="22"/>
          <w:szCs w:val="22"/>
        </w:rPr>
        <w:fldChar w:fldCharType="separate"/>
      </w:r>
      <w:r w:rsidR="00025F34">
        <w:rPr>
          <w:noProof/>
          <w:sz w:val="22"/>
          <w:szCs w:val="22"/>
        </w:rPr>
        <w:t>[4]</w:t>
      </w:r>
      <w:r w:rsidRPr="00152B6B">
        <w:rPr>
          <w:sz w:val="22"/>
          <w:szCs w:val="22"/>
        </w:rPr>
        <w:fldChar w:fldCharType="end"/>
      </w:r>
      <w:r w:rsidRPr="00152B6B">
        <w:rPr>
          <w:sz w:val="22"/>
          <w:szCs w:val="22"/>
        </w:rPr>
        <w:t xml:space="preserve"> on which the original model relies, but also with </w:t>
      </w:r>
      <w:r w:rsidRPr="00152B6B">
        <w:rPr>
          <w:i/>
          <w:sz w:val="22"/>
          <w:szCs w:val="22"/>
        </w:rPr>
        <w:t>effective labor</w:t>
      </w:r>
      <w:r w:rsidRPr="00152B6B">
        <w:rPr>
          <w:sz w:val="22"/>
          <w:szCs w:val="22"/>
        </w:rPr>
        <w:t xml:space="preserve"> for which health is a crucial determinant.</w:t>
      </w:r>
    </w:p>
    <w:p w14:paraId="15B28D72" w14:textId="77777777" w:rsidR="00045255" w:rsidRPr="00152B6B" w:rsidRDefault="00045255" w:rsidP="00E11F60">
      <w:pPr>
        <w:widowControl w:val="0"/>
        <w:autoSpaceDE w:val="0"/>
        <w:autoSpaceDN w:val="0"/>
        <w:adjustRightInd w:val="0"/>
        <w:rPr>
          <w:sz w:val="22"/>
          <w:szCs w:val="22"/>
        </w:rPr>
      </w:pPr>
    </w:p>
    <w:p w14:paraId="7DE8FAEB" w14:textId="77777777" w:rsidR="00045255" w:rsidRPr="00152B6B" w:rsidRDefault="00045255" w:rsidP="00E11F60">
      <w:pPr>
        <w:widowControl w:val="0"/>
        <w:autoSpaceDE w:val="0"/>
        <w:autoSpaceDN w:val="0"/>
        <w:adjustRightInd w:val="0"/>
        <w:rPr>
          <w:sz w:val="22"/>
          <w:szCs w:val="22"/>
        </w:rPr>
      </w:pPr>
      <w:r w:rsidRPr="00152B6B">
        <w:rPr>
          <w:sz w:val="22"/>
          <w:szCs w:val="22"/>
        </w:rPr>
        <w:t>Physical capital evolves according to</w:t>
      </w:r>
    </w:p>
    <w:p w14:paraId="6DEF0586" w14:textId="77777777" w:rsidR="00045255" w:rsidRPr="00152B6B" w:rsidRDefault="00045255" w:rsidP="00E11F60">
      <w:pPr>
        <w:widowControl w:val="0"/>
        <w:autoSpaceDE w:val="0"/>
        <w:autoSpaceDN w:val="0"/>
        <w:adjustRightInd w:val="0"/>
        <w:rPr>
          <w:sz w:val="22"/>
          <w:szCs w:val="22"/>
        </w:rPr>
      </w:pPr>
    </w:p>
    <w:p w14:paraId="05B3E523" w14:textId="0D486F84" w:rsidR="00045255" w:rsidRPr="00152B6B" w:rsidRDefault="00082FAB" w:rsidP="00E11F60">
      <w:pPr>
        <w:widowControl w:val="0"/>
        <w:autoSpaceDE w:val="0"/>
        <w:autoSpaceDN w:val="0"/>
        <w:adjustRightInd w:val="0"/>
        <w:rPr>
          <w:sz w:val="22"/>
          <w:szCs w:val="22"/>
        </w:rPr>
      </w:pPr>
      <m:oMathPara>
        <m:oMath>
          <m:eqArr>
            <m:eqArrPr>
              <m:maxDist m:val="1"/>
              <m:ctrlPr>
                <w:rPr>
                  <w:rFonts w:ascii="Cambria Math" w:hAnsi="Cambria Math"/>
                  <w:sz w:val="22"/>
                  <w:szCs w:val="22"/>
                </w:rPr>
              </m:ctrlPr>
            </m:eqArr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t+1</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1-δ</m:t>
                  </m:r>
                </m:e>
              </m:d>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j∈</m:t>
                  </m:r>
                  <m:r>
                    <m:rPr>
                      <m:sty m:val="p"/>
                    </m:rPr>
                    <w:rPr>
                      <w:rFonts w:ascii="Cambria Math" w:hAnsi="Cambria Math"/>
                      <w:sz w:val="22"/>
                      <w:szCs w:val="22"/>
                    </w:rPr>
                    <m:t>Ι</m:t>
                  </m:r>
                </m:sub>
                <m:sup/>
                <m:e>
                  <m:r>
                    <w:rPr>
                      <w:rFonts w:ascii="Cambria Math" w:hAnsi="Cambria Math"/>
                      <w:sz w:val="22"/>
                      <w:szCs w:val="22"/>
                    </w:rPr>
                    <m:t>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j,t</m:t>
                      </m:r>
                    </m:sub>
                  </m:sSub>
                </m:e>
              </m:nary>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1-δ</m:t>
                  </m:r>
                </m:e>
              </m:d>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t</m:t>
                  </m:r>
                </m:sub>
              </m:sSub>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t</m:t>
                  </m:r>
                </m:sub>
              </m:sSub>
              <m: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2</m:t>
                  </m:r>
                </m:e>
              </m:d>
              <m:ctrlPr>
                <w:rPr>
                  <w:rFonts w:ascii="Cambria Math" w:hAnsi="Cambria Math"/>
                  <w:i/>
                  <w:sz w:val="22"/>
                  <w:szCs w:val="22"/>
                </w:rPr>
              </m:ctrlPr>
            </m:e>
          </m:eqArr>
        </m:oMath>
      </m:oMathPara>
    </w:p>
    <w:p w14:paraId="616A2224" w14:textId="339CD4F8" w:rsidR="00045255" w:rsidRPr="00152B6B" w:rsidRDefault="00045255" w:rsidP="00E11F60">
      <w:pPr>
        <w:widowControl w:val="0"/>
        <w:autoSpaceDE w:val="0"/>
        <w:autoSpaceDN w:val="0"/>
        <w:adjustRightInd w:val="0"/>
        <w:rPr>
          <w:sz w:val="22"/>
          <w:szCs w:val="22"/>
        </w:rPr>
      </w:pPr>
      <w:r w:rsidRPr="00152B6B">
        <w:rPr>
          <w:sz w:val="22"/>
          <w:szCs w:val="22"/>
        </w:rPr>
        <w:t xml:space="preserve">where </w:t>
      </w:r>
      <m:oMath>
        <m:r>
          <w:rPr>
            <w:rFonts w:ascii="Cambria Math" w:hAnsi="Cambria Math"/>
            <w:sz w:val="22"/>
            <w:szCs w:val="22"/>
          </w:rPr>
          <m:t>δ</m:t>
        </m:r>
      </m:oMath>
      <w:r w:rsidRPr="00152B6B">
        <w:rPr>
          <w:sz w:val="22"/>
          <w:szCs w:val="22"/>
        </w:rPr>
        <w:t xml:space="preserve"> is the rate of depreciation and </w:t>
      </w: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t</m:t>
            </m:r>
          </m:sub>
        </m:sSub>
      </m:oMath>
      <w:r w:rsidRPr="00152B6B">
        <w:rPr>
          <w:sz w:val="22"/>
          <w:szCs w:val="22"/>
        </w:rPr>
        <w:t xml:space="preserve"> refers to the savings rate. From Equation (2), it</w:t>
      </w:r>
      <w:r w:rsidRPr="00152B6B">
        <w:rPr>
          <w:rFonts w:hint="eastAsia"/>
          <w:sz w:val="22"/>
          <w:szCs w:val="22"/>
        </w:rPr>
        <w:t xml:space="preserve"> </w:t>
      </w:r>
      <w:r w:rsidRPr="00152B6B">
        <w:rPr>
          <w:sz w:val="22"/>
          <w:szCs w:val="22"/>
        </w:rPr>
        <w:t>follows that the savings rate is defined as</w:t>
      </w:r>
    </w:p>
    <w:p w14:paraId="3FACA249" w14:textId="77777777" w:rsidR="00045255" w:rsidRPr="00152B6B" w:rsidRDefault="00045255" w:rsidP="00E11F60">
      <w:pPr>
        <w:widowControl w:val="0"/>
        <w:autoSpaceDE w:val="0"/>
        <w:autoSpaceDN w:val="0"/>
        <w:adjustRightInd w:val="0"/>
        <w:rPr>
          <w:sz w:val="22"/>
          <w:szCs w:val="22"/>
        </w:rPr>
      </w:pPr>
    </w:p>
    <w:p w14:paraId="5CDA90E0" w14:textId="469CBE62" w:rsidR="00045255" w:rsidRPr="00152B6B" w:rsidRDefault="00082FAB" w:rsidP="00E11F60">
      <w:pPr>
        <w:widowControl w:val="0"/>
        <w:autoSpaceDE w:val="0"/>
        <w:autoSpaceDN w:val="0"/>
        <w:adjustRightInd w:val="0"/>
        <w:jc w:val="center"/>
        <w:rPr>
          <w:sz w:val="22"/>
          <w:szCs w:val="22"/>
        </w:rPr>
      </w:pP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t</m:t>
            </m:r>
          </m:sub>
        </m:sSub>
        <m:r>
          <w:rPr>
            <w:rFonts w:ascii="Cambria Math" w:hAnsi="Cambria Math"/>
            <w:sz w:val="22"/>
            <w:szCs w:val="22"/>
          </w:rPr>
          <m:t>=1-</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j∈</m:t>
                </m:r>
                <m:r>
                  <m:rPr>
                    <m:sty m:val="p"/>
                  </m:rPr>
                  <w:rPr>
                    <w:rFonts w:ascii="Cambria Math" w:hAnsi="Cambria Math"/>
                    <w:sz w:val="22"/>
                    <w:szCs w:val="22"/>
                  </w:rPr>
                  <m:t>Ι</m:t>
                </m:r>
              </m:sub>
              <m:sup/>
              <m:e>
                <m:r>
                  <w:rPr>
                    <w:rFonts w:ascii="Cambria Math" w:hAnsi="Cambria Math"/>
                    <w:sz w:val="22"/>
                    <w:szCs w:val="22"/>
                  </w:rPr>
                  <m:t>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j,t</m:t>
                    </m:r>
                  </m:sub>
                </m:sSub>
              </m:e>
            </m:nary>
          </m:num>
          <m:den>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t</m:t>
                </m:r>
              </m:sub>
            </m:sSub>
          </m:den>
        </m:f>
      </m:oMath>
      <w:r w:rsidR="00045255" w:rsidRPr="00152B6B">
        <w:rPr>
          <w:sz w:val="22"/>
          <w:szCs w:val="22"/>
        </w:rPr>
        <w:t>.</w:t>
      </w:r>
    </w:p>
    <w:p w14:paraId="15F7F98A" w14:textId="05883EAA" w:rsidR="00045255" w:rsidRPr="00152B6B" w:rsidRDefault="00045255" w:rsidP="00E11F60">
      <w:pPr>
        <w:widowControl w:val="0"/>
        <w:autoSpaceDE w:val="0"/>
        <w:autoSpaceDN w:val="0"/>
        <w:adjustRightInd w:val="0"/>
        <w:rPr>
          <w:sz w:val="22"/>
          <w:szCs w:val="22"/>
        </w:rPr>
      </w:pPr>
      <w:r w:rsidRPr="00152B6B">
        <w:rPr>
          <w:rFonts w:hint="eastAsia"/>
          <w:sz w:val="22"/>
          <w:szCs w:val="22"/>
        </w:rPr>
        <w:t xml:space="preserve">Note that aggregate output </w:t>
      </w:r>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t</m:t>
            </m:r>
          </m:sub>
        </m:sSub>
      </m:oMath>
      <w:r w:rsidRPr="00152B6B">
        <w:rPr>
          <w:rFonts w:hint="eastAsia"/>
          <w:sz w:val="22"/>
          <w:szCs w:val="22"/>
        </w:rPr>
        <w:t xml:space="preserve"> is used for three purposes: </w:t>
      </w:r>
      <w:r w:rsidRPr="00152B6B">
        <w:rPr>
          <w:sz w:val="22"/>
          <w:szCs w:val="22"/>
        </w:rPr>
        <w:t xml:space="preserve">1) </w:t>
      </w:r>
      <w:r w:rsidRPr="00152B6B">
        <w:rPr>
          <w:rFonts w:hint="eastAsia"/>
          <w:sz w:val="22"/>
          <w:szCs w:val="22"/>
        </w:rPr>
        <w:t xml:space="preserve">to pay treatment costs </w:t>
      </w:r>
      <m:oMath>
        <m:r>
          <w:rPr>
            <w:rFonts w:ascii="Cambria Math" w:hAnsi="Cambria Math"/>
            <w:sz w:val="22"/>
            <w:szCs w:val="22"/>
          </w:rPr>
          <m:t>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j,t</m:t>
            </m:r>
          </m:sub>
        </m:sSub>
      </m:oMath>
      <w:r w:rsidRPr="00152B6B">
        <w:rPr>
          <w:rFonts w:hint="eastAsia"/>
          <w:sz w:val="22"/>
          <w:szCs w:val="22"/>
        </w:rPr>
        <w:t xml:space="preserve"> </w:t>
      </w:r>
      <w:r w:rsidR="00A21ABC" w:rsidRPr="00152B6B">
        <w:rPr>
          <w:sz w:val="22"/>
          <w:szCs w:val="22"/>
        </w:rPr>
        <w:t>(</w:t>
      </w:r>
      <w:r w:rsidR="00283FAC">
        <w:rPr>
          <w:sz w:val="22"/>
          <w:szCs w:val="22"/>
        </w:rPr>
        <w:t>t</w:t>
      </w:r>
      <w:r w:rsidR="00A21ABC" w:rsidRPr="00152B6B">
        <w:rPr>
          <w:sz w:val="22"/>
          <w:szCs w:val="22"/>
        </w:rPr>
        <w:t>hese costs refer to the costs of ongoing treatment and of the intervention methods for the specific disease</w:t>
      </w:r>
      <w:r w:rsidR="00283FAC">
        <w:rPr>
          <w:sz w:val="22"/>
          <w:szCs w:val="22"/>
        </w:rPr>
        <w:t>;</w:t>
      </w:r>
      <w:r w:rsidR="00A21ABC" w:rsidRPr="00152B6B">
        <w:rPr>
          <w:sz w:val="22"/>
          <w:szCs w:val="22"/>
        </w:rPr>
        <w:t xml:space="preserve"> </w:t>
      </w:r>
      <w:r w:rsidR="00283FAC">
        <w:rPr>
          <w:sz w:val="22"/>
          <w:szCs w:val="22"/>
        </w:rPr>
        <w:t>i</w:t>
      </w:r>
      <w:r w:rsidR="00A21ABC" w:rsidRPr="00152B6B">
        <w:rPr>
          <w:sz w:val="22"/>
          <w:szCs w:val="22"/>
        </w:rPr>
        <w:t xml:space="preserve">n general, these costs are best characterized by the direct costs of health care, including hospitalization, medication, etc.) </w:t>
      </w:r>
      <w:r w:rsidRPr="00152B6B">
        <w:rPr>
          <w:rFonts w:hint="eastAsia"/>
          <w:sz w:val="22"/>
          <w:szCs w:val="22"/>
        </w:rPr>
        <w:t xml:space="preserve">for disease </w:t>
      </w:r>
      <m:oMath>
        <m:r>
          <w:rPr>
            <w:rFonts w:ascii="Cambria Math" w:hAnsi="Cambria Math"/>
            <w:sz w:val="22"/>
            <w:szCs w:val="22"/>
          </w:rPr>
          <m:t>j∈</m:t>
        </m:r>
        <m:r>
          <m:rPr>
            <m:sty m:val="p"/>
          </m:rPr>
          <w:rPr>
            <w:rFonts w:ascii="Cambria Math" w:hAnsi="Cambria Math"/>
            <w:sz w:val="22"/>
            <w:szCs w:val="22"/>
          </w:rPr>
          <m:t>Ι</m:t>
        </m:r>
      </m:oMath>
      <w:r w:rsidRPr="00152B6B">
        <w:rPr>
          <w:rFonts w:hint="eastAsia"/>
          <w:sz w:val="22"/>
          <w:szCs w:val="22"/>
        </w:rPr>
        <w:t xml:space="preserve">, where </w:t>
      </w:r>
      <m:oMath>
        <m:r>
          <m:rPr>
            <m:sty m:val="p"/>
          </m:rPr>
          <w:rPr>
            <w:rFonts w:ascii="Cambria Math" w:hAnsi="Cambria Math"/>
            <w:sz w:val="22"/>
            <w:szCs w:val="22"/>
          </w:rPr>
          <m:t>Ι</m:t>
        </m:r>
      </m:oMath>
      <w:r w:rsidRPr="00152B6B">
        <w:rPr>
          <w:rFonts w:hint="eastAsia"/>
          <w:sz w:val="22"/>
          <w:szCs w:val="22"/>
        </w:rPr>
        <w:t xml:space="preserve"> is the set of diseases</w:t>
      </w:r>
      <w:r w:rsidRPr="00152B6B">
        <w:rPr>
          <w:sz w:val="22"/>
          <w:szCs w:val="22"/>
        </w:rPr>
        <w:t xml:space="preserve"> that we consider</w:t>
      </w:r>
      <w:r w:rsidRPr="00152B6B">
        <w:rPr>
          <w:rFonts w:hint="eastAsia"/>
          <w:sz w:val="22"/>
          <w:szCs w:val="22"/>
        </w:rPr>
        <w:t xml:space="preserve">; </w:t>
      </w:r>
      <w:r w:rsidRPr="00152B6B">
        <w:rPr>
          <w:sz w:val="22"/>
          <w:szCs w:val="22"/>
        </w:rPr>
        <w:t xml:space="preserve">2) </w:t>
      </w:r>
      <w:r w:rsidRPr="00152B6B">
        <w:rPr>
          <w:rFonts w:hint="eastAsia"/>
          <w:sz w:val="22"/>
          <w:szCs w:val="22"/>
        </w:rPr>
        <w:t xml:space="preserve">to consume the amount </w:t>
      </w: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m:t>
            </m:r>
          </m:sub>
        </m:sSub>
      </m:oMath>
      <w:r w:rsidRPr="00152B6B">
        <w:rPr>
          <w:rFonts w:hint="eastAsia"/>
          <w:sz w:val="22"/>
          <w:szCs w:val="22"/>
        </w:rPr>
        <w:t>;</w:t>
      </w:r>
      <w:r w:rsidRPr="00152B6B">
        <w:rPr>
          <w:sz w:val="22"/>
          <w:szCs w:val="22"/>
        </w:rPr>
        <w:t xml:space="preserve"> and 3)</w:t>
      </w:r>
      <w:r w:rsidRPr="00152B6B">
        <w:rPr>
          <w:rFonts w:hint="eastAsia"/>
          <w:sz w:val="22"/>
          <w:szCs w:val="22"/>
        </w:rPr>
        <w:t xml:space="preserve"> to save.</w:t>
      </w:r>
      <w:r w:rsidR="002B2161">
        <w:rPr>
          <w:rFonts w:hint="eastAsia"/>
          <w:sz w:val="22"/>
          <w:szCs w:val="22"/>
        </w:rPr>
        <w:t xml:space="preserve"> </w:t>
      </w:r>
      <w:r w:rsidR="002B2161" w:rsidRPr="002B2161">
        <w:rPr>
          <w:sz w:val="22"/>
          <w:szCs w:val="22"/>
        </w:rPr>
        <w:t>In other words, we assume that the treatment costs do not contribute to physical capital accumulation. Hence, the real loss associated with treatment costs only amounts on the drag imposed on savings and thus capital accumulation.</w:t>
      </w:r>
    </w:p>
    <w:p w14:paraId="77FE2C2E" w14:textId="77777777" w:rsidR="003E553E" w:rsidRPr="00152B6B" w:rsidRDefault="003E553E" w:rsidP="00E11F60">
      <w:pPr>
        <w:widowControl w:val="0"/>
        <w:autoSpaceDE w:val="0"/>
        <w:autoSpaceDN w:val="0"/>
        <w:adjustRightInd w:val="0"/>
        <w:rPr>
          <w:sz w:val="22"/>
          <w:szCs w:val="22"/>
        </w:rPr>
      </w:pPr>
    </w:p>
    <w:p w14:paraId="652CDCAD" w14:textId="4024753B" w:rsidR="00045255" w:rsidRPr="00152B6B" w:rsidRDefault="00045255" w:rsidP="00E11F60">
      <w:pPr>
        <w:widowControl w:val="0"/>
        <w:autoSpaceDE w:val="0"/>
        <w:autoSpaceDN w:val="0"/>
        <w:adjustRightInd w:val="0"/>
        <w:rPr>
          <w:sz w:val="22"/>
          <w:szCs w:val="22"/>
        </w:rPr>
      </w:pPr>
      <w:r w:rsidRPr="00152B6B">
        <w:rPr>
          <w:rFonts w:hint="eastAsia"/>
          <w:sz w:val="22"/>
          <w:szCs w:val="22"/>
        </w:rPr>
        <w:t xml:space="preserve">Individuals of age group </w:t>
      </w:r>
      <m:oMath>
        <m:r>
          <w:rPr>
            <w:rFonts w:ascii="Cambria Math" w:hAnsi="Cambria Math"/>
            <w:sz w:val="22"/>
            <w:szCs w:val="22"/>
          </w:rPr>
          <m:t>a</m:t>
        </m:r>
      </m:oMath>
      <w:r w:rsidRPr="00152B6B">
        <w:rPr>
          <w:rFonts w:hint="eastAsia"/>
          <w:sz w:val="22"/>
          <w:szCs w:val="22"/>
        </w:rPr>
        <w:t xml:space="preserve"> are endowed with </w:t>
      </w:r>
      <m:oMath>
        <m:sSubSup>
          <m:sSubSupPr>
            <m:ctrlPr>
              <w:rPr>
                <w:rFonts w:ascii="Cambria Math" w:hAnsi="Cambria Math"/>
                <w:i/>
                <w:sz w:val="22"/>
                <w:szCs w:val="22"/>
              </w:rPr>
            </m:ctrlPr>
          </m:sSubSupPr>
          <m:e>
            <m:r>
              <w:rPr>
                <w:rFonts w:ascii="Cambria Math" w:hAnsi="Cambria Math"/>
                <w:sz w:val="22"/>
                <w:szCs w:val="22"/>
              </w:rPr>
              <m:t>h</m:t>
            </m:r>
          </m:e>
          <m:sub>
            <m:r>
              <w:rPr>
                <w:rFonts w:ascii="Cambria Math" w:hAnsi="Cambria Math"/>
                <w:sz w:val="22"/>
                <w:szCs w:val="22"/>
              </w:rPr>
              <m:t>t</m:t>
            </m:r>
          </m:sub>
          <m:sup>
            <m:r>
              <w:rPr>
                <w:rFonts w:ascii="Cambria Math" w:hAnsi="Cambria Math"/>
                <w:sz w:val="22"/>
                <w:szCs w:val="22"/>
              </w:rPr>
              <m:t>(a)</m:t>
            </m:r>
          </m:sup>
        </m:sSubSup>
      </m:oMath>
      <w:r w:rsidRPr="00152B6B">
        <w:rPr>
          <w:sz w:val="22"/>
          <w:szCs w:val="22"/>
        </w:rPr>
        <w:t xml:space="preserve"> </w:t>
      </w:r>
      <w:r w:rsidRPr="00152B6B">
        <w:rPr>
          <w:rFonts w:hint="eastAsia"/>
          <w:sz w:val="22"/>
          <w:szCs w:val="22"/>
        </w:rPr>
        <w:t>units of human capital</w:t>
      </w:r>
      <w:r w:rsidRPr="00152B6B">
        <w:rPr>
          <w:sz w:val="22"/>
          <w:szCs w:val="22"/>
        </w:rPr>
        <w:t xml:space="preserve"> </w:t>
      </w:r>
      <w:r w:rsidRPr="00152B6B">
        <w:rPr>
          <w:rFonts w:hint="eastAsia"/>
          <w:sz w:val="22"/>
          <w:szCs w:val="22"/>
        </w:rPr>
        <w:t xml:space="preserve">and supply </w:t>
      </w:r>
      <m:oMath>
        <m:sSubSup>
          <m:sSubSupPr>
            <m:ctrlPr>
              <w:rPr>
                <w:rFonts w:ascii="Cambria Math" w:hAnsi="Cambria Math"/>
                <w:i/>
                <w:sz w:val="22"/>
                <w:szCs w:val="22"/>
              </w:rPr>
            </m:ctrlPr>
          </m:sSubSupPr>
          <m:e>
            <m:r>
              <m:rPr>
                <m:scr m:val="script"/>
              </m:rPr>
              <w:rPr>
                <w:rFonts w:ascii="Cambria Math" w:hAnsi="Cambria Math"/>
                <w:sz w:val="22"/>
                <w:szCs w:val="22"/>
              </w:rPr>
              <m:t>l</m:t>
            </m:r>
          </m:e>
          <m:sub>
            <m:r>
              <w:rPr>
                <w:rFonts w:ascii="Cambria Math" w:hAnsi="Cambria Math"/>
                <w:sz w:val="22"/>
                <w:szCs w:val="22"/>
              </w:rPr>
              <m:t>t</m:t>
            </m:r>
          </m:sub>
          <m:sup>
            <m:r>
              <w:rPr>
                <w:rFonts w:ascii="Cambria Math" w:hAnsi="Cambria Math"/>
                <w:sz w:val="22"/>
                <w:szCs w:val="22"/>
              </w:rPr>
              <m:t>(a)</m:t>
            </m:r>
          </m:sup>
        </m:sSubSup>
      </m:oMath>
      <w:r w:rsidRPr="00152B6B">
        <w:rPr>
          <w:rFonts w:hint="eastAsia"/>
          <w:sz w:val="22"/>
          <w:szCs w:val="22"/>
        </w:rPr>
        <w:t xml:space="preserve"> units of labor from age 15 up to their retirement at age </w:t>
      </w:r>
      <m:oMath>
        <m:r>
          <w:rPr>
            <w:rFonts w:ascii="Cambria Math" w:hAnsi="Cambria Math"/>
            <w:sz w:val="22"/>
            <w:szCs w:val="22"/>
          </w:rPr>
          <m:t>R</m:t>
        </m:r>
      </m:oMath>
      <w:r w:rsidRPr="00152B6B">
        <w:rPr>
          <w:rFonts w:hint="eastAsia"/>
          <w:sz w:val="22"/>
          <w:szCs w:val="22"/>
        </w:rPr>
        <w:t xml:space="preserve">, i.e., for </w:t>
      </w:r>
      <m:oMath>
        <m:r>
          <w:rPr>
            <w:rFonts w:ascii="Cambria Math" w:hAnsi="Cambria Math"/>
            <w:sz w:val="22"/>
            <w:szCs w:val="22"/>
          </w:rPr>
          <m:t>a</m:t>
        </m:r>
        <m:r>
          <m:rPr>
            <m:sty m:val="p"/>
          </m:rPr>
          <w:rPr>
            <w:rFonts w:ascii="Cambria Math" w:hAnsi="Cambria Math"/>
            <w:sz w:val="22"/>
            <w:szCs w:val="22"/>
          </w:rPr>
          <m:t>∈[15, R]</m:t>
        </m:r>
      </m:oMath>
      <w:r w:rsidRPr="00152B6B">
        <w:rPr>
          <w:rFonts w:hint="eastAsia"/>
          <w:sz w:val="22"/>
          <w:szCs w:val="22"/>
        </w:rPr>
        <w:t xml:space="preserve">. </w:t>
      </w:r>
      <w:r w:rsidRPr="00152B6B">
        <w:rPr>
          <w:sz w:val="22"/>
          <w:szCs w:val="22"/>
        </w:rPr>
        <w:t xml:space="preserve">Children below the age of 15 and retirees above the age of </w:t>
      </w:r>
      <m:oMath>
        <m:r>
          <w:rPr>
            <w:rFonts w:ascii="Cambria Math" w:hAnsi="Cambria Math"/>
            <w:sz w:val="22"/>
            <w:szCs w:val="22"/>
          </w:rPr>
          <m:t>R</m:t>
        </m:r>
      </m:oMath>
      <w:r w:rsidRPr="00152B6B">
        <w:rPr>
          <w:sz w:val="22"/>
          <w:szCs w:val="22"/>
        </w:rPr>
        <w:t xml:space="preserve"> do not work.</w:t>
      </w:r>
      <w:r w:rsidR="00A21ABC" w:rsidRPr="00152B6B">
        <w:rPr>
          <w:sz w:val="22"/>
          <w:szCs w:val="22"/>
        </w:rPr>
        <w:t xml:space="preserve"> Actually, </w:t>
      </w:r>
      <w:r w:rsidR="00A21ABC" w:rsidRPr="008925B0">
        <w:rPr>
          <w:i/>
          <w:sz w:val="22"/>
          <w:szCs w:val="22"/>
        </w:rPr>
        <w:t>R</w:t>
      </w:r>
      <w:r w:rsidR="00A21ABC" w:rsidRPr="00152B6B">
        <w:rPr>
          <w:sz w:val="22"/>
          <w:szCs w:val="22"/>
        </w:rPr>
        <w:t xml:space="preserve"> varies by country and could be a very high number (e.g., some people aged above 80 could also be working). </w:t>
      </w:r>
      <w:r w:rsidR="00A21ABC" w:rsidRPr="008925B0">
        <w:rPr>
          <w:i/>
          <w:sz w:val="22"/>
          <w:szCs w:val="22"/>
        </w:rPr>
        <w:t>R</w:t>
      </w:r>
      <w:r w:rsidR="00A21ABC" w:rsidRPr="00152B6B">
        <w:rPr>
          <w:sz w:val="22"/>
          <w:szCs w:val="22"/>
        </w:rPr>
        <w:t xml:space="preserve"> just indicates the upper bound of the summation equation. In our analysis, we use the labor projections data from the International </w:t>
      </w:r>
      <w:proofErr w:type="spellStart"/>
      <w:r w:rsidR="00A21ABC" w:rsidRPr="00152B6B">
        <w:rPr>
          <w:sz w:val="22"/>
          <w:szCs w:val="22"/>
        </w:rPr>
        <w:t>Labour</w:t>
      </w:r>
      <w:proofErr w:type="spellEnd"/>
      <w:r w:rsidR="00A21ABC" w:rsidRPr="00152B6B">
        <w:rPr>
          <w:sz w:val="22"/>
          <w:szCs w:val="22"/>
        </w:rPr>
        <w:t xml:space="preserve"> Organization, and a positive labor force exists for the age cohort 65</w:t>
      </w:r>
      <w:r w:rsidR="00283FAC">
        <w:rPr>
          <w:sz w:val="22"/>
          <w:szCs w:val="22"/>
        </w:rPr>
        <w:t xml:space="preserve"> </w:t>
      </w:r>
      <w:r w:rsidR="00A21ABC" w:rsidRPr="00152B6B">
        <w:rPr>
          <w:sz w:val="22"/>
          <w:szCs w:val="22"/>
        </w:rPr>
        <w:t>years and older.</w:t>
      </w:r>
      <w:r w:rsidR="00C517A4">
        <w:rPr>
          <w:sz w:val="22"/>
          <w:szCs w:val="22"/>
        </w:rPr>
        <w:t xml:space="preserve"> </w:t>
      </w:r>
      <w:r w:rsidRPr="00152B6B">
        <w:rPr>
          <w:sz w:val="22"/>
          <w:szCs w:val="22"/>
        </w:rPr>
        <w:t>Aggregate human capital in the production function (1) is then defined as the sum over the age-specific effective labor supply of each age group:</w:t>
      </w:r>
    </w:p>
    <w:p w14:paraId="051AC5DF" w14:textId="77777777" w:rsidR="00045255" w:rsidRPr="00152B6B" w:rsidRDefault="00045255" w:rsidP="00E11F60">
      <w:pPr>
        <w:widowControl w:val="0"/>
        <w:autoSpaceDE w:val="0"/>
        <w:autoSpaceDN w:val="0"/>
        <w:adjustRightInd w:val="0"/>
        <w:rPr>
          <w:sz w:val="22"/>
          <w:szCs w:val="22"/>
        </w:rPr>
      </w:pPr>
    </w:p>
    <w:p w14:paraId="6F25BA80" w14:textId="1E3CDDE1" w:rsidR="00045255" w:rsidRPr="00152B6B" w:rsidRDefault="00082FAB" w:rsidP="00E11F60">
      <w:pPr>
        <w:widowControl w:val="0"/>
        <w:autoSpaceDE w:val="0"/>
        <w:autoSpaceDN w:val="0"/>
        <w:adjustRightInd w:val="0"/>
        <w:rPr>
          <w:sz w:val="22"/>
          <w:szCs w:val="22"/>
        </w:rPr>
      </w:pPr>
      <m:oMathPara>
        <m:oMath>
          <m:eqArr>
            <m:eqArrPr>
              <m:maxDist m:val="1"/>
              <m:ctrlPr>
                <w:rPr>
                  <w:rFonts w:ascii="Cambria Math" w:hAnsi="Cambria Math"/>
                  <w:i/>
                  <w:sz w:val="22"/>
                  <w:szCs w:val="22"/>
                </w:rPr>
              </m:ctrlPr>
            </m:eqArr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t</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a=15</m:t>
                  </m:r>
                </m:sub>
                <m:sup>
                  <m:r>
                    <w:rPr>
                      <w:rFonts w:ascii="Cambria Math" w:hAnsi="Cambria Math"/>
                      <w:sz w:val="22"/>
                      <w:szCs w:val="22"/>
                    </w:rPr>
                    <m:t>R</m:t>
                  </m:r>
                </m:sup>
                <m:e>
                  <m:sSubSup>
                    <m:sSubSupPr>
                      <m:ctrlPr>
                        <w:rPr>
                          <w:rFonts w:ascii="Cambria Math" w:hAnsi="Cambria Math"/>
                          <w:i/>
                          <w:sz w:val="22"/>
                          <w:szCs w:val="22"/>
                        </w:rPr>
                      </m:ctrlPr>
                    </m:sSubSupPr>
                    <m:e>
                      <m:r>
                        <w:rPr>
                          <w:rFonts w:ascii="Cambria Math" w:hAnsi="Cambria Math"/>
                          <w:sz w:val="22"/>
                          <w:szCs w:val="22"/>
                        </w:rPr>
                        <m:t>h</m:t>
                      </m:r>
                    </m:e>
                    <m:sub>
                      <m:r>
                        <w:rPr>
                          <w:rFonts w:ascii="Cambria Math" w:hAnsi="Cambria Math"/>
                          <w:sz w:val="22"/>
                          <w:szCs w:val="22"/>
                        </w:rPr>
                        <m:t>t</m:t>
                      </m:r>
                    </m:sub>
                    <m:sup>
                      <m:d>
                        <m:dPr>
                          <m:ctrlPr>
                            <w:rPr>
                              <w:rFonts w:ascii="Cambria Math" w:hAnsi="Cambria Math"/>
                              <w:i/>
                              <w:sz w:val="22"/>
                              <w:szCs w:val="22"/>
                            </w:rPr>
                          </m:ctrlPr>
                        </m:dPr>
                        <m:e>
                          <m:r>
                            <w:rPr>
                              <w:rFonts w:ascii="Cambria Math" w:hAnsi="Cambria Math"/>
                              <w:sz w:val="22"/>
                              <w:szCs w:val="22"/>
                            </w:rPr>
                            <m:t>a</m:t>
                          </m:r>
                        </m:e>
                      </m:d>
                    </m:sup>
                  </m:sSubSup>
                  <m:sSubSup>
                    <m:sSubSupPr>
                      <m:ctrlPr>
                        <w:rPr>
                          <w:rFonts w:ascii="Cambria Math" w:hAnsi="Cambria Math"/>
                          <w:i/>
                          <w:sz w:val="22"/>
                          <w:szCs w:val="22"/>
                        </w:rPr>
                      </m:ctrlPr>
                    </m:sSubSupPr>
                    <m:e>
                      <m:r>
                        <m:rPr>
                          <m:scr m:val="script"/>
                        </m:rPr>
                        <w:rPr>
                          <w:rFonts w:ascii="Cambria Math" w:hAnsi="Cambria Math"/>
                          <w:sz w:val="22"/>
                          <w:szCs w:val="22"/>
                        </w:rPr>
                        <m:t>l</m:t>
                      </m:r>
                    </m:e>
                    <m:sub>
                      <m:r>
                        <w:rPr>
                          <w:rFonts w:ascii="Cambria Math" w:hAnsi="Cambria Math"/>
                          <w:sz w:val="22"/>
                          <w:szCs w:val="22"/>
                        </w:rPr>
                        <m:t>t</m:t>
                      </m:r>
                    </m:sub>
                    <m:sup>
                      <m:d>
                        <m:dPr>
                          <m:ctrlPr>
                            <w:rPr>
                              <w:rFonts w:ascii="Cambria Math" w:hAnsi="Cambria Math"/>
                              <w:i/>
                              <w:sz w:val="22"/>
                              <w:szCs w:val="22"/>
                            </w:rPr>
                          </m:ctrlPr>
                        </m:dPr>
                        <m:e>
                          <m:r>
                            <w:rPr>
                              <w:rFonts w:ascii="Cambria Math" w:hAnsi="Cambria Math"/>
                              <w:sz w:val="22"/>
                              <w:szCs w:val="22"/>
                            </w:rPr>
                            <m:t>a</m:t>
                          </m:r>
                        </m:e>
                      </m:d>
                    </m:sup>
                  </m:sSubSup>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t</m:t>
                      </m:r>
                    </m:sub>
                    <m:sup>
                      <m:d>
                        <m:dPr>
                          <m:ctrlPr>
                            <w:rPr>
                              <w:rFonts w:ascii="Cambria Math" w:hAnsi="Cambria Math"/>
                              <w:i/>
                              <w:sz w:val="22"/>
                              <w:szCs w:val="22"/>
                            </w:rPr>
                          </m:ctrlPr>
                        </m:dPr>
                        <m:e>
                          <m:r>
                            <w:rPr>
                              <w:rFonts w:ascii="Cambria Math" w:hAnsi="Cambria Math"/>
                              <w:sz w:val="22"/>
                              <w:szCs w:val="22"/>
                            </w:rPr>
                            <m:t>a</m:t>
                          </m:r>
                        </m:e>
                      </m:d>
                    </m:sup>
                  </m:sSubSup>
                </m:e>
              </m:nary>
              <m: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3</m:t>
                  </m:r>
                </m:e>
              </m:d>
            </m:e>
          </m:eqArr>
        </m:oMath>
      </m:oMathPara>
    </w:p>
    <w:p w14:paraId="1570AD13" w14:textId="77777777" w:rsidR="00045255" w:rsidRPr="00152B6B" w:rsidRDefault="00045255" w:rsidP="00E11F60">
      <w:pPr>
        <w:widowControl w:val="0"/>
        <w:autoSpaceDE w:val="0"/>
        <w:autoSpaceDN w:val="0"/>
        <w:adjustRightInd w:val="0"/>
        <w:rPr>
          <w:sz w:val="22"/>
          <w:szCs w:val="22"/>
        </w:rPr>
      </w:pPr>
    </w:p>
    <w:p w14:paraId="1EAC6D06" w14:textId="29203E59" w:rsidR="00045255" w:rsidRPr="00152B6B" w:rsidRDefault="00045255" w:rsidP="00E11F60">
      <w:pPr>
        <w:widowControl w:val="0"/>
        <w:autoSpaceDE w:val="0"/>
        <w:autoSpaceDN w:val="0"/>
        <w:adjustRightInd w:val="0"/>
        <w:rPr>
          <w:sz w:val="22"/>
          <w:szCs w:val="22"/>
        </w:rPr>
      </w:pPr>
      <w:r w:rsidRPr="00152B6B">
        <w:rPr>
          <w:sz w:val="22"/>
          <w:szCs w:val="22"/>
        </w:rPr>
        <w:t xml:space="preserve">where </w:t>
      </w:r>
      <m:oMath>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t</m:t>
            </m:r>
          </m:sub>
          <m:sup>
            <m:r>
              <w:rPr>
                <w:rFonts w:ascii="Cambria Math" w:hAnsi="Cambria Math"/>
                <w:sz w:val="22"/>
                <w:szCs w:val="22"/>
              </w:rPr>
              <m:t>a</m:t>
            </m:r>
          </m:sup>
        </m:sSubSup>
      </m:oMath>
      <w:r w:rsidRPr="00152B6B">
        <w:rPr>
          <w:sz w:val="22"/>
          <w:szCs w:val="22"/>
        </w:rPr>
        <w:t xml:space="preserve"> denotes the number of individuals belonging to age group </w:t>
      </w:r>
      <m:oMath>
        <m:r>
          <w:rPr>
            <w:rFonts w:ascii="Cambria Math" w:hAnsi="Cambria Math"/>
            <w:sz w:val="22"/>
            <w:szCs w:val="22"/>
          </w:rPr>
          <m:t>a</m:t>
        </m:r>
      </m:oMath>
      <w:r w:rsidRPr="00152B6B">
        <w:rPr>
          <w:sz w:val="22"/>
          <w:szCs w:val="22"/>
        </w:rPr>
        <w:t xml:space="preserve">. Note that aggregate human capital increases with the number of working-age individuals in the economy (i.e., with a higher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a=15</m:t>
            </m:r>
          </m:sub>
          <m:sup>
            <m:r>
              <w:rPr>
                <w:rFonts w:ascii="Cambria Math" w:hAnsi="Cambria Math"/>
                <w:sz w:val="22"/>
                <w:szCs w:val="22"/>
              </w:rPr>
              <m:t>R</m:t>
            </m:r>
          </m:sup>
          <m:e>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t</m:t>
                </m:r>
              </m:sub>
              <m:sup>
                <m:r>
                  <w:rPr>
                    <w:rFonts w:ascii="Cambria Math" w:hAnsi="Cambria Math"/>
                    <w:sz w:val="22"/>
                    <w:szCs w:val="22"/>
                  </w:rPr>
                  <m:t>(a)</m:t>
                </m:r>
              </m:sup>
            </m:sSubSup>
          </m:e>
        </m:nary>
      </m:oMath>
      <w:r w:rsidRPr="00152B6B">
        <w:rPr>
          <w:sz w:val="22"/>
          <w:szCs w:val="22"/>
        </w:rPr>
        <w:t xml:space="preserve"> is larger), with individual human capital endowment (i.e., with a higher </w:t>
      </w:r>
      <m:oMath>
        <m:sSubSup>
          <m:sSubSupPr>
            <m:ctrlPr>
              <w:rPr>
                <w:rFonts w:ascii="Cambria Math" w:hAnsi="Cambria Math"/>
                <w:i/>
                <w:sz w:val="22"/>
                <w:szCs w:val="22"/>
              </w:rPr>
            </m:ctrlPr>
          </m:sSubSupPr>
          <m:e>
            <m:r>
              <w:rPr>
                <w:rFonts w:ascii="Cambria Math" w:hAnsi="Cambria Math"/>
                <w:sz w:val="22"/>
                <w:szCs w:val="22"/>
              </w:rPr>
              <m:t>h</m:t>
            </m:r>
          </m:e>
          <m:sub>
            <m:r>
              <w:rPr>
                <w:rFonts w:ascii="Cambria Math" w:hAnsi="Cambria Math"/>
                <w:sz w:val="22"/>
                <w:szCs w:val="22"/>
              </w:rPr>
              <m:t>t</m:t>
            </m:r>
          </m:sub>
          <m:sup>
            <m:r>
              <w:rPr>
                <w:rFonts w:ascii="Cambria Math" w:hAnsi="Cambria Math"/>
                <w:sz w:val="22"/>
                <w:szCs w:val="22"/>
              </w:rPr>
              <m:t>(a)</m:t>
            </m:r>
          </m:sup>
        </m:sSubSup>
      </m:oMath>
      <w:r w:rsidRPr="00152B6B">
        <w:rPr>
          <w:sz w:val="22"/>
          <w:szCs w:val="22"/>
        </w:rPr>
        <w:t xml:space="preserve"> for at least one </w:t>
      </w:r>
      <m:oMath>
        <m:r>
          <w:rPr>
            <w:rFonts w:ascii="Cambria Math" w:hAnsi="Cambria Math"/>
            <w:sz w:val="22"/>
            <w:szCs w:val="22"/>
          </w:rPr>
          <m:t>a</m:t>
        </m:r>
      </m:oMath>
      <w:r w:rsidRPr="00152B6B">
        <w:rPr>
          <w:sz w:val="22"/>
          <w:szCs w:val="22"/>
        </w:rPr>
        <w:t xml:space="preserve">), and with labor supply (i.e., with a higher </w:t>
      </w:r>
      <m:oMath>
        <m:sSubSup>
          <m:sSubSupPr>
            <m:ctrlPr>
              <w:rPr>
                <w:rFonts w:ascii="Cambria Math" w:hAnsi="Cambria Math"/>
                <w:i/>
                <w:sz w:val="22"/>
                <w:szCs w:val="22"/>
              </w:rPr>
            </m:ctrlPr>
          </m:sSubSupPr>
          <m:e>
            <m:r>
              <m:rPr>
                <m:scr m:val="script"/>
              </m:rPr>
              <w:rPr>
                <w:rFonts w:ascii="Cambria Math" w:hAnsi="Cambria Math"/>
                <w:sz w:val="22"/>
                <w:szCs w:val="22"/>
              </w:rPr>
              <m:t>l</m:t>
            </m:r>
          </m:e>
          <m:sub>
            <m:r>
              <w:rPr>
                <w:rFonts w:ascii="Cambria Math" w:hAnsi="Cambria Math"/>
                <w:sz w:val="22"/>
                <w:szCs w:val="22"/>
              </w:rPr>
              <m:t>t</m:t>
            </m:r>
          </m:sub>
          <m:sup>
            <m:r>
              <w:rPr>
                <w:rFonts w:ascii="Cambria Math" w:hAnsi="Cambria Math"/>
                <w:sz w:val="22"/>
                <w:szCs w:val="22"/>
              </w:rPr>
              <m:t>(a)</m:t>
            </m:r>
          </m:sup>
        </m:sSubSup>
      </m:oMath>
      <w:r w:rsidRPr="00152B6B">
        <w:rPr>
          <w:sz w:val="22"/>
          <w:szCs w:val="22"/>
        </w:rPr>
        <w:t xml:space="preserve"> for at least one </w:t>
      </w:r>
      <m:oMath>
        <m:r>
          <w:rPr>
            <w:rFonts w:ascii="Cambria Math" w:hAnsi="Cambria Math"/>
            <w:sz w:val="22"/>
            <w:szCs w:val="22"/>
          </w:rPr>
          <m:t>a</m:t>
        </m:r>
      </m:oMath>
      <w:r w:rsidRPr="00152B6B">
        <w:rPr>
          <w:sz w:val="22"/>
          <w:szCs w:val="22"/>
        </w:rPr>
        <w:t>).</w:t>
      </w:r>
    </w:p>
    <w:p w14:paraId="57DF3EB8" w14:textId="77777777" w:rsidR="00045255" w:rsidRPr="00152B6B" w:rsidRDefault="00045255" w:rsidP="00E11F60">
      <w:pPr>
        <w:widowControl w:val="0"/>
        <w:autoSpaceDE w:val="0"/>
        <w:autoSpaceDN w:val="0"/>
        <w:adjustRightInd w:val="0"/>
        <w:rPr>
          <w:sz w:val="22"/>
          <w:szCs w:val="22"/>
        </w:rPr>
      </w:pPr>
    </w:p>
    <w:p w14:paraId="5F5D9EAF" w14:textId="39B94018" w:rsidR="003E553E" w:rsidRPr="00152B6B" w:rsidRDefault="003E553E" w:rsidP="00E11F60">
      <w:pPr>
        <w:rPr>
          <w:sz w:val="22"/>
          <w:szCs w:val="22"/>
        </w:rPr>
      </w:pPr>
      <w:r w:rsidRPr="00152B6B">
        <w:rPr>
          <w:sz w:val="22"/>
          <w:szCs w:val="22"/>
        </w:rPr>
        <w:t>We follow Mincer</w:t>
      </w:r>
      <w:r w:rsidR="00025F34">
        <w:rPr>
          <w:rFonts w:hint="eastAsia"/>
          <w:sz w:val="22"/>
          <w:szCs w:val="22"/>
        </w:rPr>
        <w:t xml:space="preserve"> </w:t>
      </w:r>
      <w:r w:rsidRPr="00152B6B">
        <w:rPr>
          <w:sz w:val="22"/>
          <w:szCs w:val="22"/>
        </w:rPr>
        <w:fldChar w:fldCharType="begin"/>
      </w:r>
      <w:r w:rsidR="00025F34">
        <w:rPr>
          <w:sz w:val="22"/>
          <w:szCs w:val="22"/>
        </w:rPr>
        <w:instrText xml:space="preserve"> ADDIN EN.CITE &lt;EndNote&gt;&lt;Cite&gt;&lt;Author&gt;Mincer&lt;/Author&gt;&lt;Year&gt;1974&lt;/Year&gt;&lt;RecNum&gt;127&lt;/RecNum&gt;&lt;DisplayText&gt;[5]&lt;/DisplayText&gt;&lt;record&gt;&lt;rec-number&gt;127&lt;/rec-number&gt;&lt;foreign-keys&gt;&lt;key app="EN" db-id="2209pvwf8w20erevfr0vavppfap0v2zv5rww" timestamp="1509297247"&gt;127&lt;/key&gt;&lt;/foreign-keys&gt;&lt;ref-type name="Book"&gt;6&lt;/ref-type&gt;&lt;contributors&gt;&lt;authors&gt;&lt;author&gt;Mincer, Jacob&lt;/author&gt;&lt;/authors&gt;&lt;/contributors&gt;&lt;titles&gt;&lt;title&gt;Schooling, experience, and earnings. Human Behavior &amp;amp; Social Institutions No. 2&lt;/title&gt;&lt;/titles&gt;&lt;dates&gt;&lt;year&gt;1974&lt;/year&gt;&lt;/dates&gt;&lt;pub-location&gt;261 Madison Ave., New York, New York 10016&lt;/pub-location&gt;&lt;publisher&gt;National Bureau of Economic Research Inc.&lt;/publisher&gt;&lt;urls&gt;&lt;/urls&gt;&lt;/record&gt;&lt;/Cite&gt;&lt;/EndNote&gt;</w:instrText>
      </w:r>
      <w:r w:rsidRPr="00152B6B">
        <w:rPr>
          <w:sz w:val="22"/>
          <w:szCs w:val="22"/>
        </w:rPr>
        <w:fldChar w:fldCharType="separate"/>
      </w:r>
      <w:r w:rsidR="00025F34">
        <w:rPr>
          <w:noProof/>
          <w:sz w:val="22"/>
          <w:szCs w:val="22"/>
        </w:rPr>
        <w:t>[5]</w:t>
      </w:r>
      <w:r w:rsidRPr="00152B6B">
        <w:rPr>
          <w:sz w:val="22"/>
          <w:szCs w:val="22"/>
        </w:rPr>
        <w:fldChar w:fldCharType="end"/>
      </w:r>
      <w:r w:rsidRPr="00152B6B">
        <w:rPr>
          <w:sz w:val="22"/>
          <w:szCs w:val="22"/>
        </w:rPr>
        <w:t xml:space="preserve"> and construct average human capital of the cohort aged </w:t>
      </w:r>
      <m:oMath>
        <m:r>
          <w:rPr>
            <w:rFonts w:ascii="Cambria Math" w:hAnsi="Cambria Math"/>
            <w:sz w:val="22"/>
            <w:szCs w:val="22"/>
          </w:rPr>
          <m:t>a</m:t>
        </m:r>
      </m:oMath>
      <w:r w:rsidRPr="00152B6B">
        <w:rPr>
          <w:sz w:val="22"/>
          <w:szCs w:val="22"/>
        </w:rPr>
        <w:t xml:space="preserve"> according to an exponential function of education and work experience:</w:t>
      </w:r>
    </w:p>
    <w:p w14:paraId="259D8388" w14:textId="77777777" w:rsidR="003E553E" w:rsidRPr="00152B6B" w:rsidRDefault="003E553E" w:rsidP="00E11F60">
      <w:pPr>
        <w:rPr>
          <w:sz w:val="22"/>
          <w:szCs w:val="22"/>
        </w:rPr>
      </w:pPr>
    </w:p>
    <w:p w14:paraId="26CBB7B9" w14:textId="6D5F0450" w:rsidR="003E553E" w:rsidRPr="00152B6B" w:rsidRDefault="00082FAB" w:rsidP="00E11F60">
      <w:pPr>
        <w:jc w:val="both"/>
        <w:rPr>
          <w:sz w:val="22"/>
          <w:szCs w:val="22"/>
        </w:rPr>
      </w:pPr>
      <m:oMathPara>
        <m:oMath>
          <m:eqArr>
            <m:eqArrPr>
              <m:maxDist m:val="1"/>
              <m:ctrlPr>
                <w:rPr>
                  <w:rFonts w:ascii="Cambria Math" w:hAnsi="Cambria Math"/>
                  <w:i/>
                  <w:sz w:val="22"/>
                  <w:szCs w:val="22"/>
                </w:rPr>
              </m:ctrlPr>
            </m:eqArrPr>
            <m:e>
              <m:sSubSup>
                <m:sSubSupPr>
                  <m:ctrlPr>
                    <w:rPr>
                      <w:rFonts w:ascii="Cambria Math" w:hAnsi="Cambria Math"/>
                      <w:i/>
                      <w:sz w:val="22"/>
                      <w:szCs w:val="22"/>
                    </w:rPr>
                  </m:ctrlPr>
                </m:sSubSupPr>
                <m:e>
                  <m:r>
                    <w:rPr>
                      <w:rFonts w:ascii="Cambria Math" w:hAnsi="Cambria Math"/>
                      <w:sz w:val="22"/>
                      <w:szCs w:val="22"/>
                    </w:rPr>
                    <m:t>h</m:t>
                  </m:r>
                </m:e>
                <m:sub>
                  <m:r>
                    <w:rPr>
                      <w:rFonts w:ascii="Cambria Math" w:hAnsi="Cambria Math"/>
                      <w:sz w:val="22"/>
                      <w:szCs w:val="22"/>
                    </w:rPr>
                    <m:t>t</m:t>
                  </m:r>
                </m:sub>
                <m:sup>
                  <m:d>
                    <m:dPr>
                      <m:ctrlPr>
                        <w:rPr>
                          <w:rFonts w:ascii="Cambria Math" w:hAnsi="Cambria Math"/>
                          <w:i/>
                          <w:sz w:val="22"/>
                          <w:szCs w:val="22"/>
                        </w:rPr>
                      </m:ctrlPr>
                    </m:dPr>
                    <m:e>
                      <m:r>
                        <w:rPr>
                          <w:rFonts w:ascii="Cambria Math" w:hAnsi="Cambria Math"/>
                          <w:sz w:val="22"/>
                          <w:szCs w:val="22"/>
                        </w:rPr>
                        <m:t>a</m:t>
                      </m:r>
                    </m:e>
                  </m:d>
                </m:sup>
              </m:sSubSup>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exp</m:t>
                  </m:r>
                </m:fName>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1</m:t>
                          </m:r>
                        </m:sub>
                      </m:sSub>
                      <m:d>
                        <m:dPr>
                          <m:ctrlPr>
                            <w:rPr>
                              <w:rFonts w:ascii="Cambria Math" w:hAnsi="Cambria Math"/>
                              <w:i/>
                              <w:sz w:val="22"/>
                              <w:szCs w:val="22"/>
                            </w:rPr>
                          </m:ctrlPr>
                        </m:dPr>
                        <m:e>
                          <m:r>
                            <w:rPr>
                              <w:rFonts w:ascii="Cambria Math" w:hAnsi="Cambria Math"/>
                              <w:sz w:val="22"/>
                              <w:szCs w:val="22"/>
                            </w:rPr>
                            <m:t>y</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t</m:t>
                              </m:r>
                            </m:sub>
                            <m:sup>
                              <m:d>
                                <m:dPr>
                                  <m:ctrlPr>
                                    <w:rPr>
                                      <w:rFonts w:ascii="Cambria Math" w:hAnsi="Cambria Math"/>
                                      <w:i/>
                                      <w:sz w:val="22"/>
                                      <w:szCs w:val="22"/>
                                    </w:rPr>
                                  </m:ctrlPr>
                                </m:dPr>
                                <m:e>
                                  <m:r>
                                    <w:rPr>
                                      <w:rFonts w:ascii="Cambria Math" w:hAnsi="Cambria Math"/>
                                      <w:sz w:val="22"/>
                                      <w:szCs w:val="22"/>
                                    </w:rPr>
                                    <m:t>a</m:t>
                                  </m:r>
                                </m:e>
                              </m:d>
                            </m:sup>
                          </m:sSubSup>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2</m:t>
                          </m:r>
                        </m:sub>
                      </m:sSub>
                      <m:d>
                        <m:dPr>
                          <m:ctrlPr>
                            <w:rPr>
                              <w:rFonts w:ascii="Cambria Math" w:hAnsi="Cambria Math"/>
                              <w:i/>
                              <w:sz w:val="22"/>
                              <w:szCs w:val="22"/>
                            </w:rPr>
                          </m:ctrlPr>
                        </m:dPr>
                        <m:e>
                          <m:r>
                            <w:rPr>
                              <w:rFonts w:ascii="Cambria Math" w:hAnsi="Cambria Math"/>
                              <w:sz w:val="22"/>
                              <w:szCs w:val="22"/>
                            </w:rPr>
                            <m:t>a-y</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t</m:t>
                              </m:r>
                            </m:sub>
                            <m:sup>
                              <m:d>
                                <m:dPr>
                                  <m:ctrlPr>
                                    <w:rPr>
                                      <w:rFonts w:ascii="Cambria Math" w:hAnsi="Cambria Math"/>
                                      <w:i/>
                                      <w:sz w:val="22"/>
                                      <w:szCs w:val="22"/>
                                    </w:rPr>
                                  </m:ctrlPr>
                                </m:dPr>
                                <m:e>
                                  <m:r>
                                    <w:rPr>
                                      <w:rFonts w:ascii="Cambria Math" w:hAnsi="Cambria Math"/>
                                      <w:sz w:val="22"/>
                                      <w:szCs w:val="22"/>
                                    </w:rPr>
                                    <m:t>a</m:t>
                                  </m:r>
                                </m:e>
                              </m:d>
                            </m:sup>
                          </m:sSubSup>
                          <m:r>
                            <w:rPr>
                              <w:rFonts w:ascii="Cambria Math" w:hAnsi="Cambria Math"/>
                              <w:sz w:val="22"/>
                              <w:szCs w:val="22"/>
                            </w:rPr>
                            <m:t>-5</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3</m:t>
                          </m:r>
                        </m:sub>
                      </m:sSub>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a-y</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t</m:t>
                                  </m:r>
                                </m:sub>
                                <m:sup>
                                  <m:d>
                                    <m:dPr>
                                      <m:ctrlPr>
                                        <w:rPr>
                                          <w:rFonts w:ascii="Cambria Math" w:hAnsi="Cambria Math"/>
                                          <w:i/>
                                          <w:sz w:val="22"/>
                                          <w:szCs w:val="22"/>
                                        </w:rPr>
                                      </m:ctrlPr>
                                    </m:dPr>
                                    <m:e>
                                      <m:r>
                                        <w:rPr>
                                          <w:rFonts w:ascii="Cambria Math" w:hAnsi="Cambria Math"/>
                                          <w:sz w:val="22"/>
                                          <w:szCs w:val="22"/>
                                        </w:rPr>
                                        <m:t>a</m:t>
                                      </m:r>
                                    </m:e>
                                  </m:d>
                                </m:sup>
                              </m:sSubSup>
                              <m:r>
                                <w:rPr>
                                  <w:rFonts w:ascii="Cambria Math" w:hAnsi="Cambria Math"/>
                                  <w:sz w:val="22"/>
                                  <w:szCs w:val="22"/>
                                </w:rPr>
                                <m:t>-5</m:t>
                              </m:r>
                            </m:e>
                          </m:d>
                        </m:e>
                        <m:sup>
                          <m:r>
                            <w:rPr>
                              <w:rFonts w:ascii="Cambria Math" w:hAnsi="Cambria Math"/>
                              <w:sz w:val="22"/>
                              <w:szCs w:val="22"/>
                            </w:rPr>
                            <m:t>2</m:t>
                          </m:r>
                        </m:sup>
                      </m:sSup>
                    </m:e>
                  </m:d>
                </m:e>
              </m:func>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4</m:t>
                  </m:r>
                </m:e>
              </m:d>
            </m:e>
          </m:eqArr>
        </m:oMath>
      </m:oMathPara>
    </w:p>
    <w:p w14:paraId="7053FA56" w14:textId="77777777" w:rsidR="003E553E" w:rsidRPr="00152B6B" w:rsidRDefault="003E553E" w:rsidP="00E11F60">
      <w:pPr>
        <w:jc w:val="both"/>
        <w:rPr>
          <w:sz w:val="22"/>
          <w:szCs w:val="22"/>
        </w:rPr>
      </w:pPr>
    </w:p>
    <w:p w14:paraId="60B7B60B" w14:textId="77777777" w:rsidR="003E553E" w:rsidRPr="00152B6B" w:rsidRDefault="003E553E" w:rsidP="00E11F60">
      <w:pPr>
        <w:jc w:val="both"/>
        <w:rPr>
          <w:sz w:val="22"/>
          <w:szCs w:val="22"/>
        </w:rPr>
      </w:pPr>
      <w:r w:rsidRPr="00152B6B">
        <w:rPr>
          <w:sz w:val="22"/>
          <w:szCs w:val="22"/>
        </w:rPr>
        <w:t xml:space="preserve">where </w:t>
      </w:r>
      <m:oMath>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1</m:t>
            </m:r>
          </m:sub>
        </m:sSub>
      </m:oMath>
      <w:r w:rsidRPr="00152B6B">
        <w:rPr>
          <w:sz w:val="22"/>
          <w:szCs w:val="22"/>
        </w:rPr>
        <w:t xml:space="preserve"> is the semi-elasticity of human capital with respect to average years of education as given by </w:t>
      </w:r>
      <m:oMath>
        <m:r>
          <w:rPr>
            <w:rFonts w:ascii="Cambria Math" w:hAnsi="Cambria Math"/>
            <w:sz w:val="22"/>
            <w:szCs w:val="22"/>
          </w:rPr>
          <m:t>y</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t</m:t>
            </m:r>
          </m:sub>
          <m:sup>
            <m:d>
              <m:dPr>
                <m:ctrlPr>
                  <w:rPr>
                    <w:rFonts w:ascii="Cambria Math" w:hAnsi="Cambria Math"/>
                    <w:i/>
                    <w:sz w:val="22"/>
                    <w:szCs w:val="22"/>
                  </w:rPr>
                </m:ctrlPr>
              </m:dPr>
              <m:e>
                <m:r>
                  <w:rPr>
                    <w:rFonts w:ascii="Cambria Math" w:hAnsi="Cambria Math"/>
                    <w:sz w:val="22"/>
                    <w:szCs w:val="22"/>
                  </w:rPr>
                  <m:t>a</m:t>
                </m:r>
              </m:e>
            </m:d>
          </m:sup>
        </m:sSubSup>
      </m:oMath>
      <w:r w:rsidRPr="00152B6B">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2</m:t>
            </m:r>
          </m:sub>
        </m:sSub>
      </m:oMath>
      <w:r w:rsidRPr="00152B6B">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3</m:t>
            </m:r>
          </m:sub>
        </m:sSub>
      </m:oMath>
      <w:r w:rsidRPr="00152B6B">
        <w:rPr>
          <w:sz w:val="22"/>
          <w:szCs w:val="22"/>
        </w:rPr>
        <w:t xml:space="preserve"> are the semi-elasticities of human capital with respect to the experience of the workforce </w:t>
      </w:r>
      <m:oMath>
        <m:d>
          <m:dPr>
            <m:ctrlPr>
              <w:rPr>
                <w:rFonts w:ascii="Cambria Math" w:hAnsi="Cambria Math"/>
                <w:i/>
                <w:sz w:val="22"/>
                <w:szCs w:val="22"/>
              </w:rPr>
            </m:ctrlPr>
          </m:dPr>
          <m:e>
            <m:r>
              <w:rPr>
                <w:rFonts w:ascii="Cambria Math" w:hAnsi="Cambria Math"/>
                <w:sz w:val="22"/>
                <w:szCs w:val="22"/>
              </w:rPr>
              <m:t>a-y</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t</m:t>
                </m:r>
              </m:sub>
              <m:sup>
                <m:d>
                  <m:dPr>
                    <m:ctrlPr>
                      <w:rPr>
                        <w:rFonts w:ascii="Cambria Math" w:hAnsi="Cambria Math"/>
                        <w:i/>
                        <w:sz w:val="22"/>
                        <w:szCs w:val="22"/>
                      </w:rPr>
                    </m:ctrlPr>
                  </m:dPr>
                  <m:e>
                    <m:r>
                      <w:rPr>
                        <w:rFonts w:ascii="Cambria Math" w:hAnsi="Cambria Math"/>
                        <w:sz w:val="22"/>
                        <w:szCs w:val="22"/>
                      </w:rPr>
                      <m:t>a</m:t>
                    </m:r>
                  </m:e>
                </m:d>
              </m:sup>
            </m:sSubSup>
            <m:r>
              <w:rPr>
                <w:rFonts w:ascii="Cambria Math" w:hAnsi="Cambria Math"/>
                <w:sz w:val="22"/>
                <w:szCs w:val="22"/>
              </w:rPr>
              <m:t>-5</m:t>
            </m:r>
          </m:e>
        </m:d>
      </m:oMath>
      <w:r w:rsidRPr="00152B6B">
        <w:rPr>
          <w:sz w:val="22"/>
          <w:szCs w:val="22"/>
        </w:rPr>
        <w:t xml:space="preserve"> and the experience of the workforce squared </w:t>
      </w:r>
      <m:oMath>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a-y</m:t>
                </m:r>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t</m:t>
                    </m:r>
                  </m:sub>
                  <m:sup>
                    <m:d>
                      <m:dPr>
                        <m:ctrlPr>
                          <w:rPr>
                            <w:rFonts w:ascii="Cambria Math" w:hAnsi="Cambria Math"/>
                            <w:i/>
                            <w:sz w:val="22"/>
                            <w:szCs w:val="22"/>
                          </w:rPr>
                        </m:ctrlPr>
                      </m:dPr>
                      <m:e>
                        <m:r>
                          <w:rPr>
                            <w:rFonts w:ascii="Cambria Math" w:hAnsi="Cambria Math"/>
                            <w:sz w:val="22"/>
                            <w:szCs w:val="22"/>
                          </w:rPr>
                          <m:t>a</m:t>
                        </m:r>
                      </m:e>
                    </m:d>
                  </m:sup>
                </m:sSubSup>
                <m:r>
                  <w:rPr>
                    <w:rFonts w:ascii="Cambria Math" w:hAnsi="Cambria Math"/>
                    <w:sz w:val="22"/>
                    <w:szCs w:val="22"/>
                  </w:rPr>
                  <m:t>-5</m:t>
                </m:r>
              </m:e>
            </m:d>
          </m:e>
          <m:sup>
            <m:r>
              <w:rPr>
                <w:rFonts w:ascii="Cambria Math" w:hAnsi="Cambria Math"/>
                <w:sz w:val="22"/>
                <w:szCs w:val="22"/>
              </w:rPr>
              <m:t>2</m:t>
            </m:r>
          </m:sup>
        </m:sSup>
      </m:oMath>
      <w:r w:rsidRPr="00152B6B">
        <w:rPr>
          <w:sz w:val="22"/>
          <w:szCs w:val="22"/>
        </w:rPr>
        <w:t>, respectively.</w:t>
      </w:r>
    </w:p>
    <w:p w14:paraId="331C5385" w14:textId="77777777" w:rsidR="00045255" w:rsidRPr="00152B6B" w:rsidRDefault="00045255" w:rsidP="00E11F60">
      <w:pPr>
        <w:widowControl w:val="0"/>
        <w:autoSpaceDE w:val="0"/>
        <w:autoSpaceDN w:val="0"/>
        <w:adjustRightInd w:val="0"/>
        <w:rPr>
          <w:sz w:val="22"/>
          <w:szCs w:val="22"/>
        </w:rPr>
      </w:pPr>
    </w:p>
    <w:p w14:paraId="60BCEDCE" w14:textId="32A4B620" w:rsidR="00045255" w:rsidRPr="005609BF" w:rsidRDefault="00045255" w:rsidP="00E11F60">
      <w:pPr>
        <w:widowControl w:val="0"/>
        <w:autoSpaceDE w:val="0"/>
        <w:autoSpaceDN w:val="0"/>
        <w:adjustRightInd w:val="0"/>
        <w:rPr>
          <w:b/>
          <w:sz w:val="32"/>
          <w:szCs w:val="32"/>
        </w:rPr>
      </w:pPr>
      <w:r w:rsidRPr="005609BF">
        <w:rPr>
          <w:b/>
          <w:sz w:val="32"/>
          <w:szCs w:val="32"/>
        </w:rPr>
        <w:t xml:space="preserve">Impact of NCDs </w:t>
      </w:r>
      <w:r w:rsidR="00EA2BB1">
        <w:rPr>
          <w:b/>
          <w:sz w:val="32"/>
          <w:szCs w:val="32"/>
        </w:rPr>
        <w:t>a</w:t>
      </w:r>
      <w:r w:rsidRPr="005609BF">
        <w:rPr>
          <w:b/>
          <w:sz w:val="32"/>
          <w:szCs w:val="32"/>
        </w:rPr>
        <w:t xml:space="preserve">ssociated with </w:t>
      </w:r>
      <w:r w:rsidR="00EA2BB1">
        <w:rPr>
          <w:b/>
          <w:sz w:val="32"/>
          <w:szCs w:val="32"/>
        </w:rPr>
        <w:t>a</w:t>
      </w:r>
      <w:r w:rsidRPr="005609BF">
        <w:rPr>
          <w:b/>
          <w:sz w:val="32"/>
          <w:szCs w:val="32"/>
        </w:rPr>
        <w:t xml:space="preserve">ir </w:t>
      </w:r>
      <w:r w:rsidR="00EA2BB1">
        <w:rPr>
          <w:b/>
          <w:sz w:val="32"/>
          <w:szCs w:val="32"/>
        </w:rPr>
        <w:t>p</w:t>
      </w:r>
      <w:r w:rsidRPr="005609BF">
        <w:rPr>
          <w:b/>
          <w:sz w:val="32"/>
          <w:szCs w:val="32"/>
        </w:rPr>
        <w:t>ollution</w:t>
      </w:r>
    </w:p>
    <w:p w14:paraId="4AFBE588" w14:textId="77777777" w:rsidR="00045255" w:rsidRPr="00152B6B" w:rsidRDefault="00045255" w:rsidP="00E11F60">
      <w:pPr>
        <w:widowControl w:val="0"/>
        <w:autoSpaceDE w:val="0"/>
        <w:autoSpaceDN w:val="0"/>
        <w:adjustRightInd w:val="0"/>
        <w:rPr>
          <w:sz w:val="22"/>
          <w:szCs w:val="22"/>
        </w:rPr>
      </w:pPr>
    </w:p>
    <w:p w14:paraId="3CA16940" w14:textId="44910664" w:rsidR="00045255" w:rsidRPr="00152B6B" w:rsidRDefault="001035B1" w:rsidP="00E11F60">
      <w:pPr>
        <w:widowControl w:val="0"/>
        <w:autoSpaceDE w:val="0"/>
        <w:autoSpaceDN w:val="0"/>
        <w:adjustRightInd w:val="0"/>
        <w:rPr>
          <w:sz w:val="22"/>
          <w:szCs w:val="22"/>
        </w:rPr>
      </w:pPr>
      <w:r>
        <w:rPr>
          <w:sz w:val="22"/>
          <w:szCs w:val="22"/>
        </w:rPr>
        <w:t>Air pollution’</w:t>
      </w:r>
      <w:r>
        <w:rPr>
          <w:rFonts w:hint="eastAsia"/>
          <w:sz w:val="22"/>
          <w:szCs w:val="22"/>
        </w:rPr>
        <w:t>s</w:t>
      </w:r>
      <w:r w:rsidR="00045255" w:rsidRPr="00152B6B">
        <w:rPr>
          <w:sz w:val="22"/>
          <w:szCs w:val="22"/>
        </w:rPr>
        <w:t xml:space="preserve"> associated mortality (and morbidity) </w:t>
      </w:r>
      <w:r>
        <w:rPr>
          <w:rFonts w:hint="eastAsia"/>
          <w:sz w:val="22"/>
          <w:szCs w:val="22"/>
        </w:rPr>
        <w:t xml:space="preserve">of NCDs </w:t>
      </w:r>
      <w:r w:rsidR="00045255" w:rsidRPr="00152B6B">
        <w:rPr>
          <w:sz w:val="22"/>
          <w:szCs w:val="22"/>
        </w:rPr>
        <w:t xml:space="preserve">is (are) expected to reduce effective labor supply in the economy. In other words, by reducing NCDs’ prevalence, the </w:t>
      </w:r>
      <w:r w:rsidR="00045255" w:rsidRPr="00152B6B">
        <w:rPr>
          <w:i/>
          <w:sz w:val="22"/>
          <w:szCs w:val="22"/>
        </w:rPr>
        <w:t>counterfactual scenario</w:t>
      </w:r>
      <w:r w:rsidR="00045255" w:rsidRPr="00152B6B">
        <w:rPr>
          <w:sz w:val="22"/>
          <w:szCs w:val="22"/>
        </w:rPr>
        <w:t xml:space="preserve"> is associated with an increase in labor supply as compared with the </w:t>
      </w:r>
      <w:r w:rsidR="00045255" w:rsidRPr="00152B6B">
        <w:rPr>
          <w:i/>
          <w:sz w:val="22"/>
          <w:szCs w:val="22"/>
        </w:rPr>
        <w:t>status quo scenario</w:t>
      </w:r>
      <w:r w:rsidR="00045255" w:rsidRPr="00152B6B">
        <w:rPr>
          <w:sz w:val="22"/>
          <w:szCs w:val="22"/>
        </w:rPr>
        <w:t>. Following</w:t>
      </w:r>
      <w:r w:rsidR="003E553E" w:rsidRPr="00152B6B">
        <w:rPr>
          <w:rFonts w:hint="eastAsia"/>
          <w:sz w:val="22"/>
          <w:szCs w:val="22"/>
        </w:rPr>
        <w:t xml:space="preserve"> </w:t>
      </w:r>
      <w:r w:rsidR="003E553E" w:rsidRPr="00152B6B">
        <w:rPr>
          <w:sz w:val="22"/>
          <w:szCs w:val="22"/>
        </w:rPr>
        <w:fldChar w:fldCharType="begin"/>
      </w:r>
      <w:r w:rsidR="00F971A7" w:rsidRPr="00152B6B">
        <w:rPr>
          <w:sz w:val="22"/>
          <w:szCs w:val="22"/>
        </w:rPr>
        <w:instrText xml:space="preserve"> ADDIN EN.CITE &lt;EndNote&gt;&lt;Cite&gt;&lt;Author&gt;Bloom&lt;/Author&gt;&lt;Year&gt;2018&lt;/Year&gt;&lt;RecNum&gt;781&lt;/RecNum&gt;&lt;DisplayText&gt;[1]&lt;/DisplayText&gt;&lt;record&gt;&lt;rec-number&gt;781&lt;/rec-number&gt;&lt;foreign-keys&gt;&lt;key app="EN" db-id="2209pvwf8w20erevfr0vavppfap0v2zv5rww" timestamp="1538036668"&gt;781&lt;/key&gt;&lt;/foreign-keys&gt;&lt;ref-type name="Journal Article"&gt;17&lt;/ref-type&gt;&lt;contributors&gt;&lt;authors&gt;&lt;author&gt;Bloom, David E.&lt;/author&gt;&lt;author&gt;Chen, Simiao&lt;/author&gt;&lt;author&gt;Kuhn, Michael&lt;/author&gt;&lt;author&gt;McGovern, Mark E.&lt;/author&gt;&lt;author&gt;Oxley, Les&lt;/author&gt;&lt;author&gt;Prettner, Klaus&lt;/author&gt;&lt;/authors&gt;&lt;/contributors&gt;&lt;titles&gt;&lt;title&gt;The economic burden of chronic diseases: estimates and projections for China, Japan, and South Korea&lt;/title&gt;&lt;secondary-title&gt;The Journal of the Economics of Ageing&lt;/secondary-title&gt;&lt;/titles&gt;&lt;periodical&gt;&lt;full-title&gt;The Journal of the Economics of Ageing&lt;/full-title&gt;&lt;/periodical&gt;&lt;keywords&gt;&lt;keyword&gt;Non-communicable Diseases&lt;/keyword&gt;&lt;keyword&gt;Human Capital&lt;/keyword&gt;&lt;keyword&gt;Health Interventions&lt;/keyword&gt;&lt;keyword&gt;Aggregate Output&lt;/keyword&gt;&lt;keyword&gt;Ageing&lt;/keyword&gt;&lt;keyword&gt;East Asia&lt;/keyword&gt;&lt;keyword&gt;H51&lt;/keyword&gt;&lt;keyword&gt;I15&lt;/keyword&gt;&lt;keyword&gt;I18&lt;/keyword&gt;&lt;keyword&gt;J24&lt;/keyword&gt;&lt;keyword&gt;O11&lt;/keyword&gt;&lt;/keywords&gt;&lt;dates&gt;&lt;year&gt;2018&lt;/year&gt;&lt;pub-dates&gt;&lt;date&gt;2018/09/26/&lt;/date&gt;&lt;/pub-dates&gt;&lt;/dates&gt;&lt;isbn&gt;2212-828X&lt;/isbn&gt;&lt;urls&gt;&lt;related-urls&gt;&lt;url&gt;http://www.sciencedirect.com/science/article/pii/S2212828X18300744&lt;/url&gt;&lt;/related-urls&gt;&lt;/urls&gt;&lt;electronic-resource-num&gt;https://doi.org/10.1016/j.jeoa.2018.09.002&lt;/electronic-resource-num&gt;&lt;/record&gt;&lt;/Cite&gt;&lt;/EndNote&gt;</w:instrText>
      </w:r>
      <w:r w:rsidR="003E553E" w:rsidRPr="00152B6B">
        <w:rPr>
          <w:sz w:val="22"/>
          <w:szCs w:val="22"/>
        </w:rPr>
        <w:fldChar w:fldCharType="separate"/>
      </w:r>
      <w:r w:rsidR="00F971A7" w:rsidRPr="00152B6B">
        <w:rPr>
          <w:noProof/>
          <w:sz w:val="22"/>
          <w:szCs w:val="22"/>
        </w:rPr>
        <w:t>[1]</w:t>
      </w:r>
      <w:r w:rsidR="003E553E" w:rsidRPr="00152B6B">
        <w:rPr>
          <w:sz w:val="22"/>
          <w:szCs w:val="22"/>
        </w:rPr>
        <w:fldChar w:fldCharType="end"/>
      </w:r>
      <w:r w:rsidR="00045255" w:rsidRPr="00152B6B">
        <w:rPr>
          <w:sz w:val="22"/>
          <w:szCs w:val="22"/>
        </w:rPr>
        <w:t xml:space="preserve">, we approximate the change in labor supply (at time </w:t>
      </w:r>
      <m:oMath>
        <m:r>
          <w:rPr>
            <w:rFonts w:ascii="Cambria Math" w:hAnsi="Cambria Math"/>
            <w:sz w:val="22"/>
            <w:szCs w:val="22"/>
          </w:rPr>
          <m:t>t</m:t>
        </m:r>
      </m:oMath>
      <w:r w:rsidR="00045255" w:rsidRPr="00152B6B">
        <w:rPr>
          <w:sz w:val="22"/>
          <w:szCs w:val="22"/>
        </w:rPr>
        <w:t xml:space="preserve"> for age group </w:t>
      </w:r>
      <m:oMath>
        <m:r>
          <w:rPr>
            <w:rFonts w:ascii="Cambria Math" w:hAnsi="Cambria Math"/>
            <w:sz w:val="22"/>
            <w:szCs w:val="22"/>
          </w:rPr>
          <m:t>a</m:t>
        </m:r>
      </m:oMath>
      <w:r w:rsidR="00045255" w:rsidRPr="00152B6B">
        <w:rPr>
          <w:sz w:val="22"/>
          <w:szCs w:val="22"/>
        </w:rPr>
        <w:t>) by</w:t>
      </w:r>
    </w:p>
    <w:p w14:paraId="174F83BC" w14:textId="77777777" w:rsidR="00045255" w:rsidRPr="00152B6B" w:rsidRDefault="00045255" w:rsidP="00E11F60">
      <w:pPr>
        <w:widowControl w:val="0"/>
        <w:autoSpaceDE w:val="0"/>
        <w:autoSpaceDN w:val="0"/>
        <w:adjustRightInd w:val="0"/>
        <w:rPr>
          <w:sz w:val="22"/>
          <w:szCs w:val="22"/>
        </w:rPr>
      </w:pPr>
    </w:p>
    <w:p w14:paraId="607D81B6" w14:textId="3AF46B2C" w:rsidR="00045255" w:rsidRPr="00152B6B" w:rsidRDefault="00082FAB" w:rsidP="00E11F60">
      <w:pPr>
        <w:widowControl w:val="0"/>
        <w:autoSpaceDE w:val="0"/>
        <w:autoSpaceDN w:val="0"/>
        <w:adjustRightInd w:val="0"/>
        <w:rPr>
          <w:sz w:val="22"/>
          <w:szCs w:val="22"/>
        </w:rPr>
      </w:pPr>
      <m:oMathPara>
        <m:oMath>
          <m:eqArr>
            <m:eqArrPr>
              <m:maxDist m:val="1"/>
              <m:ctrlPr>
                <w:rPr>
                  <w:rFonts w:ascii="Cambria Math" w:hAnsi="Cambria Math"/>
                  <w:i/>
                  <w:sz w:val="22"/>
                  <w:szCs w:val="22"/>
                </w:rPr>
              </m:ctrlPr>
            </m:eqArrPr>
            <m:e>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L</m:t>
                  </m:r>
                </m:e>
                <m:sub>
                  <m:r>
                    <w:rPr>
                      <w:rFonts w:ascii="Cambria Math" w:hAnsi="Cambria Math"/>
                      <w:sz w:val="22"/>
                      <w:szCs w:val="22"/>
                    </w:rPr>
                    <m:t>t</m:t>
                  </m:r>
                </m:sub>
                <m:sup>
                  <m:d>
                    <m:dPr>
                      <m:ctrlPr>
                        <w:rPr>
                          <w:rFonts w:ascii="Cambria Math" w:hAnsi="Cambria Math"/>
                          <w:i/>
                          <w:sz w:val="22"/>
                          <w:szCs w:val="22"/>
                        </w:rPr>
                      </m:ctrlPr>
                    </m:dPr>
                    <m:e>
                      <m:r>
                        <w:rPr>
                          <w:rFonts w:ascii="Cambria Math" w:hAnsi="Cambria Math"/>
                          <w:sz w:val="22"/>
                          <w:szCs w:val="22"/>
                        </w:rPr>
                        <m:t>a</m:t>
                      </m:r>
                    </m:e>
                  </m:d>
                </m:sup>
              </m:sSubSup>
              <m:r>
                <w:rPr>
                  <w:rFonts w:ascii="Cambria Math" w:hAnsi="Cambria Math"/>
                  <w:sz w:val="22"/>
                  <w:szCs w:val="22"/>
                </w:rPr>
                <m:t>≈</m:t>
              </m:r>
              <m:sSubSup>
                <m:sSubSupPr>
                  <m:ctrlPr>
                    <w:rPr>
                      <w:rFonts w:ascii="Cambria Math" w:hAnsi="Cambria Math"/>
                      <w:i/>
                      <w:sz w:val="22"/>
                      <w:szCs w:val="22"/>
                    </w:rPr>
                  </m:ctrlPr>
                </m:sSubSupPr>
                <m:e>
                  <m:r>
                    <m:rPr>
                      <m:scr m:val="script"/>
                    </m:rPr>
                    <w:rPr>
                      <w:rFonts w:ascii="Cambria Math" w:hAnsi="Cambria Math"/>
                      <w:sz w:val="22"/>
                      <w:szCs w:val="22"/>
                    </w:rPr>
                    <m:t>l</m:t>
                  </m:r>
                </m:e>
                <m:sub>
                  <m:r>
                    <w:rPr>
                      <w:rFonts w:ascii="Cambria Math" w:hAnsi="Cambria Math"/>
                      <w:sz w:val="22"/>
                      <w:szCs w:val="22"/>
                    </w:rPr>
                    <m:t>t</m:t>
                  </m:r>
                </m:sub>
                <m:sup>
                  <m:d>
                    <m:dPr>
                      <m:ctrlPr>
                        <w:rPr>
                          <w:rFonts w:ascii="Cambria Math" w:hAnsi="Cambria Math"/>
                          <w:i/>
                          <w:sz w:val="22"/>
                          <w:szCs w:val="22"/>
                        </w:rPr>
                      </m:ctrlPr>
                    </m:dPr>
                    <m:e>
                      <m:r>
                        <w:rPr>
                          <w:rFonts w:ascii="Cambria Math" w:hAnsi="Cambria Math"/>
                          <w:sz w:val="22"/>
                          <w:szCs w:val="22"/>
                        </w:rPr>
                        <m:t>a</m:t>
                      </m:r>
                    </m:e>
                  </m:d>
                </m:sup>
              </m:sSubSup>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rPr>
                    <m:t>t</m:t>
                  </m:r>
                </m:sub>
                <m:sup>
                  <m:d>
                    <m:dPr>
                      <m:ctrlPr>
                        <w:rPr>
                          <w:rFonts w:ascii="Cambria Math" w:hAnsi="Cambria Math"/>
                          <w:i/>
                          <w:sz w:val="22"/>
                          <w:szCs w:val="22"/>
                        </w:rPr>
                      </m:ctrlPr>
                    </m:dPr>
                    <m:e>
                      <m:r>
                        <w:rPr>
                          <w:rFonts w:ascii="Cambria Math" w:hAnsi="Cambria Math"/>
                          <w:sz w:val="22"/>
                          <w:szCs w:val="22"/>
                        </w:rPr>
                        <m:t>a</m:t>
                      </m:r>
                    </m:e>
                  </m:d>
                </m:sup>
              </m:sSubSup>
              <m:nary>
                <m:naryPr>
                  <m:chr m:val="∑"/>
                  <m:limLoc m:val="undOvr"/>
                  <m:ctrlPr>
                    <w:rPr>
                      <w:rFonts w:ascii="Cambria Math" w:hAnsi="Cambria Math"/>
                      <w:i/>
                      <w:sz w:val="22"/>
                      <w:szCs w:val="22"/>
                    </w:rPr>
                  </m:ctrlPr>
                </m:naryPr>
                <m:sub>
                  <m:r>
                    <w:rPr>
                      <w:rFonts w:ascii="Cambria Math" w:hAnsi="Cambria Math"/>
                      <w:sz w:val="22"/>
                      <w:szCs w:val="22"/>
                    </w:rPr>
                    <m:t>τ=0</m:t>
                  </m:r>
                </m:sub>
                <m:sup>
                  <m:func>
                    <m:funcPr>
                      <m:ctrlPr>
                        <w:rPr>
                          <w:rFonts w:ascii="Cambria Math" w:hAnsi="Cambria Math"/>
                          <w:sz w:val="22"/>
                          <w:szCs w:val="22"/>
                        </w:rPr>
                      </m:ctrlPr>
                    </m:funcPr>
                    <m:fName>
                      <m:r>
                        <m:rPr>
                          <m:sty m:val="p"/>
                        </m:rPr>
                        <w:rPr>
                          <w:rFonts w:ascii="Cambria Math" w:hAnsi="Cambria Math"/>
                          <w:sz w:val="22"/>
                          <w:szCs w:val="22"/>
                        </w:rPr>
                        <m:t>min</m:t>
                      </m:r>
                    </m:fName>
                    <m:e>
                      <m:d>
                        <m:dPr>
                          <m:begChr m:val="{"/>
                          <m:endChr m:val="}"/>
                          <m:ctrlPr>
                            <w:rPr>
                              <w:rFonts w:ascii="Cambria Math" w:hAnsi="Cambria Math"/>
                              <w:i/>
                              <w:sz w:val="22"/>
                              <w:szCs w:val="22"/>
                            </w:rPr>
                          </m:ctrlPr>
                        </m:dPr>
                        <m:e>
                          <m:r>
                            <w:rPr>
                              <w:rFonts w:ascii="Cambria Math" w:hAnsi="Cambria Math"/>
                              <w:sz w:val="22"/>
                              <w:szCs w:val="22"/>
                            </w:rPr>
                            <m:t>t,a</m:t>
                          </m:r>
                        </m:e>
                      </m:d>
                    </m:e>
                  </m:func>
                  <m:r>
                    <w:rPr>
                      <w:rFonts w:ascii="Cambria Math" w:hAnsi="Cambria Math"/>
                      <w:sz w:val="22"/>
                      <w:szCs w:val="22"/>
                    </w:rPr>
                    <m:t>-1</m:t>
                  </m:r>
                </m:sup>
                <m:e>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i,t-1-τ</m:t>
                      </m:r>
                    </m:sub>
                    <m:sup>
                      <m:d>
                        <m:dPr>
                          <m:ctrlPr>
                            <w:rPr>
                              <w:rFonts w:ascii="Cambria Math" w:hAnsi="Cambria Math"/>
                              <w:i/>
                              <w:sz w:val="22"/>
                              <w:szCs w:val="22"/>
                            </w:rPr>
                          </m:ctrlPr>
                        </m:dPr>
                        <m:e>
                          <m:r>
                            <w:rPr>
                              <w:rFonts w:ascii="Cambria Math" w:hAnsi="Cambria Math"/>
                              <w:sz w:val="22"/>
                              <w:szCs w:val="22"/>
                            </w:rPr>
                            <m:t>a-1-τ</m:t>
                          </m:r>
                        </m:e>
                      </m:d>
                    </m:sup>
                  </m:sSubSup>
                  <m:d>
                    <m:dPr>
                      <m:begChr m:val="["/>
                      <m:endChr m:val="]"/>
                      <m:ctrlPr>
                        <w:rPr>
                          <w:rFonts w:ascii="Cambria Math" w:hAnsi="Cambria Math"/>
                          <w:i/>
                          <w:sz w:val="22"/>
                          <w:szCs w:val="22"/>
                        </w:rPr>
                      </m:ctrlPr>
                    </m:dPr>
                    <m:e>
                      <m:r>
                        <w:rPr>
                          <w:rFonts w:ascii="Cambria Math" w:hAnsi="Cambria Math"/>
                          <w:sz w:val="22"/>
                          <w:szCs w:val="22"/>
                        </w:rPr>
                        <m:t>1+</m:t>
                      </m:r>
                      <m:sSubSup>
                        <m:sSubSupPr>
                          <m:ctrlPr>
                            <w:rPr>
                              <w:rFonts w:ascii="Cambria Math" w:hAnsi="Cambria Math"/>
                              <w:i/>
                              <w:sz w:val="22"/>
                              <w:szCs w:val="22"/>
                            </w:rPr>
                          </m:ctrlPr>
                        </m:sSubSupPr>
                        <m:e>
                          <m:r>
                            <w:rPr>
                              <w:rFonts w:ascii="Cambria Math" w:hAnsi="Cambria Math"/>
                              <w:sz w:val="22"/>
                              <w:szCs w:val="22"/>
                            </w:rPr>
                            <m:t>p</m:t>
                          </m:r>
                        </m:e>
                        <m:sub>
                          <m:r>
                            <w:rPr>
                              <w:rFonts w:ascii="Cambria Math" w:hAnsi="Cambria Math"/>
                              <w:sz w:val="22"/>
                              <w:szCs w:val="22"/>
                            </w:rPr>
                            <m:t>i</m:t>
                          </m:r>
                        </m:sub>
                        <m:sup>
                          <m:r>
                            <w:rPr>
                              <w:rFonts w:ascii="Cambria Math" w:hAnsi="Cambria Math"/>
                              <w:sz w:val="22"/>
                              <w:szCs w:val="22"/>
                            </w:rPr>
                            <m:t>τ</m:t>
                          </m:r>
                        </m:sup>
                      </m:sSubSup>
                      <m:sSubSup>
                        <m:sSubSupPr>
                          <m:ctrlPr>
                            <w:rPr>
                              <w:rFonts w:ascii="Cambria Math" w:hAnsi="Cambria Math"/>
                              <w:i/>
                              <w:sz w:val="22"/>
                              <w:szCs w:val="22"/>
                            </w:rPr>
                          </m:ctrlPr>
                        </m:sSubSupPr>
                        <m:e>
                          <m:r>
                            <w:rPr>
                              <w:rFonts w:ascii="Cambria Math" w:hAnsi="Cambria Math"/>
                              <w:sz w:val="22"/>
                              <w:szCs w:val="22"/>
                            </w:rPr>
                            <m:t>ξ</m:t>
                          </m:r>
                        </m:e>
                        <m:sub>
                          <m:r>
                            <w:rPr>
                              <w:rFonts w:ascii="Cambria Math" w:hAnsi="Cambria Math"/>
                              <w:sz w:val="22"/>
                              <w:szCs w:val="22"/>
                            </w:rPr>
                            <m:t>i</m:t>
                          </m:r>
                        </m:sub>
                        <m:sup>
                          <m:d>
                            <m:dPr>
                              <m:ctrlPr>
                                <w:rPr>
                                  <w:rFonts w:ascii="Cambria Math" w:hAnsi="Cambria Math"/>
                                  <w:i/>
                                  <w:sz w:val="22"/>
                                  <w:szCs w:val="22"/>
                                </w:rPr>
                              </m:ctrlPr>
                            </m:dPr>
                            <m:e>
                              <m:r>
                                <w:rPr>
                                  <w:rFonts w:ascii="Cambria Math" w:hAnsi="Cambria Math"/>
                                  <w:sz w:val="22"/>
                                  <w:szCs w:val="22"/>
                                </w:rPr>
                                <m:t>a-1-τ</m:t>
                              </m:r>
                            </m:e>
                          </m:d>
                        </m:sup>
                      </m:sSubSup>
                    </m:e>
                  </m:d>
                </m:e>
              </m:nary>
              <m: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5</m:t>
                  </m:r>
                </m:e>
              </m:d>
            </m:e>
          </m:eqArr>
        </m:oMath>
      </m:oMathPara>
    </w:p>
    <w:p w14:paraId="49E608B8" w14:textId="77777777" w:rsidR="00045255" w:rsidRPr="00152B6B" w:rsidRDefault="00045255" w:rsidP="00E11F60">
      <w:pPr>
        <w:widowControl w:val="0"/>
        <w:autoSpaceDE w:val="0"/>
        <w:autoSpaceDN w:val="0"/>
        <w:adjustRightInd w:val="0"/>
        <w:rPr>
          <w:sz w:val="22"/>
          <w:szCs w:val="22"/>
        </w:rPr>
      </w:pPr>
    </w:p>
    <w:p w14:paraId="18E96060" w14:textId="3D15667E" w:rsidR="00045255" w:rsidRPr="00152B6B" w:rsidRDefault="00045255" w:rsidP="00E11F60">
      <w:pPr>
        <w:widowControl w:val="0"/>
        <w:autoSpaceDE w:val="0"/>
        <w:autoSpaceDN w:val="0"/>
        <w:adjustRightInd w:val="0"/>
        <w:rPr>
          <w:sz w:val="22"/>
          <w:szCs w:val="22"/>
        </w:rPr>
      </w:pPr>
      <w:r w:rsidRPr="00152B6B">
        <w:rPr>
          <w:sz w:val="22"/>
          <w:szCs w:val="22"/>
        </w:rPr>
        <w:t xml:space="preserve">where </w:t>
      </w:r>
      <m:oMath>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i,t</m:t>
            </m:r>
          </m:sub>
          <m:sup>
            <m:d>
              <m:dPr>
                <m:ctrlPr>
                  <w:rPr>
                    <w:rFonts w:ascii="Cambria Math" w:hAnsi="Cambria Math"/>
                    <w:i/>
                    <w:sz w:val="22"/>
                    <w:szCs w:val="22"/>
                  </w:rPr>
                </m:ctrlPr>
              </m:dPr>
              <m:e>
                <m:r>
                  <w:rPr>
                    <w:rFonts w:ascii="Cambria Math" w:hAnsi="Cambria Math"/>
                    <w:sz w:val="22"/>
                    <w:szCs w:val="22"/>
                  </w:rPr>
                  <m:t>a</m:t>
                </m:r>
              </m:e>
            </m:d>
          </m:sup>
        </m:sSubSup>
      </m:oMath>
      <w:r w:rsidRPr="00152B6B">
        <w:rPr>
          <w:sz w:val="22"/>
          <w:szCs w:val="22"/>
        </w:rPr>
        <w:t xml:space="preserve"> is the mortality effect of disease </w:t>
      </w:r>
      <m:oMath>
        <m:r>
          <w:rPr>
            <w:rFonts w:ascii="Cambria Math" w:hAnsi="Cambria Math"/>
            <w:sz w:val="22"/>
            <w:szCs w:val="22"/>
          </w:rPr>
          <m:t>i</m:t>
        </m:r>
      </m:oMath>
      <w:r w:rsidRPr="00152B6B">
        <w:rPr>
          <w:sz w:val="22"/>
          <w:szCs w:val="22"/>
        </w:rPr>
        <w:t xml:space="preserve"> over age group </w:t>
      </w:r>
      <m:oMath>
        <m:r>
          <w:rPr>
            <w:rFonts w:ascii="Cambria Math" w:hAnsi="Cambria Math"/>
            <w:sz w:val="22"/>
            <w:szCs w:val="22"/>
          </w:rPr>
          <m:t>a</m:t>
        </m:r>
      </m:oMath>
      <w:r w:rsidRPr="00152B6B">
        <w:rPr>
          <w:sz w:val="22"/>
          <w:szCs w:val="22"/>
        </w:rPr>
        <w:t xml:space="preserve"> at time </w:t>
      </w:r>
      <m:oMath>
        <m:r>
          <w:rPr>
            <w:rFonts w:ascii="Cambria Math" w:hAnsi="Cambria Math"/>
            <w:sz w:val="22"/>
            <w:szCs w:val="22"/>
          </w:rPr>
          <m:t>t</m:t>
        </m:r>
      </m:oMath>
      <w:r w:rsidRPr="00152B6B">
        <w:rPr>
          <w:sz w:val="22"/>
          <w:szCs w:val="22"/>
        </w:rPr>
        <w:t xml:space="preserve">, </w:t>
      </w:r>
      <m:oMath>
        <m:sSubSup>
          <m:sSubSupPr>
            <m:ctrlPr>
              <w:rPr>
                <w:rFonts w:ascii="Cambria Math" w:hAnsi="Cambria Math"/>
                <w:i/>
                <w:sz w:val="22"/>
                <w:szCs w:val="22"/>
              </w:rPr>
            </m:ctrlPr>
          </m:sSubSupPr>
          <m:e>
            <m:r>
              <w:rPr>
                <w:rFonts w:ascii="Cambria Math" w:hAnsi="Cambria Math"/>
                <w:sz w:val="22"/>
                <w:szCs w:val="22"/>
              </w:rPr>
              <m:t>ξ</m:t>
            </m:r>
          </m:e>
          <m:sub>
            <m:r>
              <w:rPr>
                <w:rFonts w:ascii="Cambria Math" w:hAnsi="Cambria Math"/>
                <w:sz w:val="22"/>
                <w:szCs w:val="22"/>
              </w:rPr>
              <m:t>i</m:t>
            </m:r>
          </m:sub>
          <m:sup>
            <m:d>
              <m:dPr>
                <m:ctrlPr>
                  <w:rPr>
                    <w:rFonts w:ascii="Cambria Math" w:hAnsi="Cambria Math"/>
                    <w:i/>
                    <w:sz w:val="22"/>
                    <w:szCs w:val="22"/>
                  </w:rPr>
                </m:ctrlPr>
              </m:dPr>
              <m:e>
                <m:r>
                  <w:rPr>
                    <w:rFonts w:ascii="Cambria Math" w:hAnsi="Cambria Math"/>
                    <w:sz w:val="22"/>
                    <w:szCs w:val="22"/>
                  </w:rPr>
                  <m:t>a</m:t>
                </m:r>
              </m:e>
            </m:d>
          </m:sup>
        </m:sSubSup>
      </m:oMath>
      <w:r w:rsidRPr="00152B6B">
        <w:rPr>
          <w:sz w:val="22"/>
          <w:szCs w:val="22"/>
        </w:rPr>
        <w:t xml:space="preserve"> measures the relative size of the morbidity effect, and </w:t>
      </w:r>
      <m:oMath>
        <m:sSubSup>
          <m:sSubSupPr>
            <m:ctrlPr>
              <w:rPr>
                <w:rFonts w:ascii="Cambria Math" w:hAnsi="Cambria Math"/>
                <w:i/>
                <w:sz w:val="22"/>
                <w:szCs w:val="22"/>
              </w:rPr>
            </m:ctrlPr>
          </m:sSubSupPr>
          <m:e>
            <m:r>
              <w:rPr>
                <w:rFonts w:ascii="Cambria Math" w:hAnsi="Cambria Math"/>
                <w:sz w:val="22"/>
                <w:szCs w:val="22"/>
              </w:rPr>
              <m:t>p</m:t>
            </m:r>
          </m:e>
          <m:sub>
            <m:r>
              <w:rPr>
                <w:rFonts w:ascii="Cambria Math" w:hAnsi="Cambria Math"/>
                <w:sz w:val="22"/>
                <w:szCs w:val="22"/>
              </w:rPr>
              <m:t>i</m:t>
            </m:r>
          </m:sub>
          <m:sup>
            <m:r>
              <w:rPr>
                <w:rFonts w:ascii="Cambria Math" w:hAnsi="Cambria Math"/>
                <w:sz w:val="22"/>
                <w:szCs w:val="22"/>
              </w:rPr>
              <m:t>t</m:t>
            </m:r>
          </m:sup>
        </m:sSubSup>
      </m:oMath>
      <w:r w:rsidRPr="00152B6B">
        <w:rPr>
          <w:sz w:val="22"/>
          <w:szCs w:val="22"/>
        </w:rPr>
        <w:t xml:space="preserve"> is the probability that a sick person fails to recover from the disease until time </w:t>
      </w:r>
      <m:oMath>
        <m:r>
          <w:rPr>
            <w:rFonts w:ascii="Cambria Math" w:hAnsi="Cambria Math"/>
            <w:sz w:val="22"/>
            <w:szCs w:val="22"/>
          </w:rPr>
          <m:t>t</m:t>
        </m:r>
      </m:oMath>
      <w:r w:rsidRPr="00152B6B">
        <w:rPr>
          <w:sz w:val="22"/>
          <w:szCs w:val="22"/>
        </w:rPr>
        <w:t>.</w:t>
      </w:r>
    </w:p>
    <w:p w14:paraId="4C22FB12" w14:textId="77777777" w:rsidR="00045255" w:rsidRPr="00152B6B" w:rsidRDefault="00045255" w:rsidP="00E11F60">
      <w:pPr>
        <w:widowControl w:val="0"/>
        <w:autoSpaceDE w:val="0"/>
        <w:autoSpaceDN w:val="0"/>
        <w:adjustRightInd w:val="0"/>
        <w:rPr>
          <w:sz w:val="22"/>
          <w:szCs w:val="22"/>
        </w:rPr>
      </w:pPr>
    </w:p>
    <w:p w14:paraId="7506C437" w14:textId="77777777" w:rsidR="00045255" w:rsidRPr="00152B6B" w:rsidRDefault="00045255" w:rsidP="00E11F60">
      <w:pPr>
        <w:widowControl w:val="0"/>
        <w:autoSpaceDE w:val="0"/>
        <w:autoSpaceDN w:val="0"/>
        <w:adjustRightInd w:val="0"/>
        <w:rPr>
          <w:sz w:val="22"/>
          <w:szCs w:val="22"/>
        </w:rPr>
      </w:pPr>
      <w:r w:rsidRPr="00152B6B">
        <w:rPr>
          <w:sz w:val="22"/>
          <w:szCs w:val="22"/>
        </w:rPr>
        <w:t>Because the impact of morbidity is hard to estimate directly, we first define</w:t>
      </w:r>
    </w:p>
    <w:p w14:paraId="1FA27AA7" w14:textId="77777777" w:rsidR="00045255" w:rsidRPr="00152B6B" w:rsidRDefault="00045255" w:rsidP="00E11F60">
      <w:pPr>
        <w:widowControl w:val="0"/>
        <w:autoSpaceDE w:val="0"/>
        <w:autoSpaceDN w:val="0"/>
        <w:adjustRightInd w:val="0"/>
        <w:rPr>
          <w:sz w:val="22"/>
          <w:szCs w:val="22"/>
        </w:rPr>
      </w:pPr>
    </w:p>
    <w:p w14:paraId="37481822" w14:textId="60ADFD5E" w:rsidR="00045255" w:rsidRPr="00152B6B" w:rsidRDefault="00082FAB" w:rsidP="00E11F60">
      <w:pPr>
        <w:widowControl w:val="0"/>
        <w:autoSpaceDE w:val="0"/>
        <w:autoSpaceDN w:val="0"/>
        <w:adjustRightInd w:val="0"/>
        <w:rPr>
          <w:sz w:val="22"/>
          <w:szCs w:val="22"/>
        </w:rPr>
      </w:pPr>
      <m:oMathPara>
        <m:oMath>
          <m:eqArr>
            <m:eqArrPr>
              <m:maxDist m:val="1"/>
              <m:ctrlPr>
                <w:rPr>
                  <w:rFonts w:ascii="Cambria Math" w:hAnsi="Cambria Math"/>
                  <w:i/>
                  <w:sz w:val="22"/>
                  <w:szCs w:val="22"/>
                </w:rPr>
              </m:ctrlPr>
            </m:eqArrPr>
            <m:e>
              <m:sSubSup>
                <m:sSubSupPr>
                  <m:ctrlPr>
                    <w:rPr>
                      <w:rFonts w:ascii="Cambria Math" w:hAnsi="Cambria Math"/>
                      <w:i/>
                      <w:sz w:val="22"/>
                      <w:szCs w:val="22"/>
                    </w:rPr>
                  </m:ctrlPr>
                </m:sSubSupPr>
                <m:e>
                  <m:r>
                    <w:rPr>
                      <w:rFonts w:ascii="Cambria Math" w:hAnsi="Cambria Math"/>
                      <w:sz w:val="22"/>
                      <w:szCs w:val="22"/>
                    </w:rPr>
                    <m:t>ξ</m:t>
                  </m:r>
                </m:e>
                <m:sub>
                  <m:r>
                    <w:rPr>
                      <w:rFonts w:ascii="Cambria Math" w:hAnsi="Cambria Math"/>
                      <w:sz w:val="22"/>
                      <w:szCs w:val="22"/>
                    </w:rPr>
                    <m:t>i</m:t>
                  </m:r>
                </m:sub>
                <m:sup>
                  <m:d>
                    <m:dPr>
                      <m:ctrlPr>
                        <w:rPr>
                          <w:rFonts w:ascii="Cambria Math" w:hAnsi="Cambria Math"/>
                          <w:i/>
                          <w:sz w:val="22"/>
                          <w:szCs w:val="22"/>
                        </w:rPr>
                      </m:ctrlPr>
                    </m:dPr>
                    <m:e>
                      <m:r>
                        <w:rPr>
                          <w:rFonts w:ascii="Cambria Math" w:hAnsi="Cambria Math"/>
                          <w:sz w:val="22"/>
                          <w:szCs w:val="22"/>
                        </w:rPr>
                        <m:t>a</m:t>
                      </m:r>
                    </m:e>
                  </m:d>
                </m:sup>
              </m:sSub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loss of labor due to morbidity in age group a</m:t>
                  </m:r>
                </m:num>
                <m:den>
                  <m:r>
                    <w:rPr>
                      <w:rFonts w:ascii="Cambria Math" w:hAnsi="Cambria Math"/>
                      <w:sz w:val="22"/>
                      <w:szCs w:val="22"/>
                    </w:rPr>
                    <m:t>loss of labor due to mortality in age group a</m:t>
                  </m:r>
                </m:den>
              </m:f>
              <m: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6</m:t>
                  </m:r>
                </m:e>
              </m:d>
            </m:e>
          </m:eqArr>
        </m:oMath>
      </m:oMathPara>
    </w:p>
    <w:p w14:paraId="63D2A46B" w14:textId="77777777" w:rsidR="00045255" w:rsidRPr="00152B6B" w:rsidRDefault="00045255" w:rsidP="00E11F60">
      <w:pPr>
        <w:widowControl w:val="0"/>
        <w:autoSpaceDE w:val="0"/>
        <w:autoSpaceDN w:val="0"/>
        <w:adjustRightInd w:val="0"/>
        <w:rPr>
          <w:sz w:val="22"/>
          <w:szCs w:val="22"/>
        </w:rPr>
      </w:pPr>
    </w:p>
    <w:p w14:paraId="22FA956F" w14:textId="181E56EE" w:rsidR="00045255" w:rsidRPr="00152B6B" w:rsidRDefault="00045255" w:rsidP="00E11F60">
      <w:pPr>
        <w:widowControl w:val="0"/>
        <w:autoSpaceDE w:val="0"/>
        <w:autoSpaceDN w:val="0"/>
        <w:adjustRightInd w:val="0"/>
        <w:rPr>
          <w:sz w:val="22"/>
          <w:szCs w:val="22"/>
        </w:rPr>
      </w:pPr>
      <w:r w:rsidRPr="00152B6B">
        <w:rPr>
          <w:sz w:val="22"/>
          <w:szCs w:val="22"/>
        </w:rPr>
        <w:t xml:space="preserve">Next, we assume that the following holds in any given year for each age group </w:t>
      </w:r>
      <m:oMath>
        <m:r>
          <w:rPr>
            <w:rFonts w:ascii="Cambria Math" w:hAnsi="Cambria Math"/>
            <w:sz w:val="22"/>
            <w:szCs w:val="22"/>
          </w:rPr>
          <m:t>a</m:t>
        </m:r>
      </m:oMath>
      <w:r w:rsidRPr="00152B6B">
        <w:rPr>
          <w:sz w:val="22"/>
          <w:szCs w:val="22"/>
        </w:rPr>
        <w:t>:</w:t>
      </w:r>
    </w:p>
    <w:p w14:paraId="024380C5" w14:textId="77777777" w:rsidR="00045255" w:rsidRPr="00152B6B" w:rsidRDefault="00045255" w:rsidP="00E11F60">
      <w:pPr>
        <w:widowControl w:val="0"/>
        <w:autoSpaceDE w:val="0"/>
        <w:autoSpaceDN w:val="0"/>
        <w:adjustRightInd w:val="0"/>
        <w:rPr>
          <w:sz w:val="22"/>
          <w:szCs w:val="22"/>
        </w:rPr>
      </w:pPr>
    </w:p>
    <w:p w14:paraId="72AFB6F1" w14:textId="7C54447F" w:rsidR="00045255" w:rsidRPr="00152B6B" w:rsidRDefault="00082FAB" w:rsidP="00E11F60">
      <w:pPr>
        <w:widowControl w:val="0"/>
        <w:autoSpaceDE w:val="0"/>
        <w:autoSpaceDN w:val="0"/>
        <w:adjustRightInd w:val="0"/>
        <w:rPr>
          <w:sz w:val="22"/>
          <w:szCs w:val="22"/>
        </w:rPr>
      </w:pPr>
      <m:oMathPara>
        <m:oMath>
          <m:eqArr>
            <m:eqArrPr>
              <m:maxDist m:val="1"/>
              <m:ctrlPr>
                <w:rPr>
                  <w:rFonts w:ascii="Cambria Math" w:hAnsi="Cambria Math"/>
                  <w:i/>
                  <w:sz w:val="22"/>
                  <w:szCs w:val="22"/>
                </w:rPr>
              </m:ctrlPr>
            </m:eqArrPr>
            <m:e>
              <m:sSubSup>
                <m:sSubSupPr>
                  <m:ctrlPr>
                    <w:rPr>
                      <w:rFonts w:ascii="Cambria Math" w:hAnsi="Cambria Math"/>
                      <w:i/>
                      <w:sz w:val="22"/>
                      <w:szCs w:val="22"/>
                    </w:rPr>
                  </m:ctrlPr>
                </m:sSubSupPr>
                <m:e>
                  <m:r>
                    <w:rPr>
                      <w:rFonts w:ascii="Cambria Math" w:hAnsi="Cambria Math"/>
                      <w:sz w:val="22"/>
                      <w:szCs w:val="22"/>
                    </w:rPr>
                    <m:t>ξ</m:t>
                  </m:r>
                </m:e>
                <m:sub>
                  <m:r>
                    <w:rPr>
                      <w:rFonts w:ascii="Cambria Math" w:hAnsi="Cambria Math"/>
                      <w:sz w:val="22"/>
                      <w:szCs w:val="22"/>
                    </w:rPr>
                    <m:t>i</m:t>
                  </m:r>
                </m:sub>
                <m:sup>
                  <m:d>
                    <m:dPr>
                      <m:ctrlPr>
                        <w:rPr>
                          <w:rFonts w:ascii="Cambria Math" w:hAnsi="Cambria Math"/>
                          <w:i/>
                          <w:sz w:val="22"/>
                          <w:szCs w:val="22"/>
                        </w:rPr>
                      </m:ctrlPr>
                    </m:dPr>
                    <m:e>
                      <m:r>
                        <w:rPr>
                          <w:rFonts w:ascii="Cambria Math" w:hAnsi="Cambria Math"/>
                          <w:sz w:val="22"/>
                          <w:szCs w:val="22"/>
                        </w:rPr>
                        <m:t>a</m:t>
                      </m:r>
                    </m:e>
                  </m:d>
                </m:sup>
              </m:sSub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YL</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m:t>
                      </m:r>
                    </m:sub>
                    <m:sup>
                      <m:d>
                        <m:dPr>
                          <m:ctrlPr>
                            <w:rPr>
                              <w:rFonts w:ascii="Cambria Math" w:hAnsi="Cambria Math"/>
                              <w:i/>
                              <w:sz w:val="22"/>
                              <w:szCs w:val="22"/>
                            </w:rPr>
                          </m:ctrlPr>
                        </m:dPr>
                        <m:e>
                          <m:r>
                            <w:rPr>
                              <w:rFonts w:ascii="Cambria Math" w:hAnsi="Cambria Math"/>
                              <w:sz w:val="22"/>
                              <w:szCs w:val="22"/>
                            </w:rPr>
                            <m:t>a</m:t>
                          </m:r>
                        </m:e>
                      </m:d>
                    </m:sup>
                  </m:sSubSup>
                </m:num>
                <m:den>
                  <m:r>
                    <w:rPr>
                      <w:rFonts w:ascii="Cambria Math" w:hAnsi="Cambria Math"/>
                      <w:sz w:val="22"/>
                      <w:szCs w:val="22"/>
                    </w:rPr>
                    <m:t>YL</m:t>
                  </m:r>
                  <m:sSubSup>
                    <m:sSubSupPr>
                      <m:ctrlPr>
                        <w:rPr>
                          <w:rFonts w:ascii="Cambria Math" w:hAnsi="Cambria Math"/>
                          <w:i/>
                          <w:sz w:val="22"/>
                          <w:szCs w:val="22"/>
                        </w:rPr>
                      </m:ctrlPr>
                    </m:sSubSupPr>
                    <m:e>
                      <m:r>
                        <w:rPr>
                          <w:rFonts w:ascii="Cambria Math" w:hAnsi="Cambria Math"/>
                          <w:sz w:val="22"/>
                          <w:szCs w:val="22"/>
                        </w:rPr>
                        <m:t>L</m:t>
                      </m:r>
                    </m:e>
                    <m:sub>
                      <m:r>
                        <w:rPr>
                          <w:rFonts w:ascii="Cambria Math" w:hAnsi="Cambria Math"/>
                          <w:sz w:val="22"/>
                          <w:szCs w:val="22"/>
                        </w:rPr>
                        <m:t>i</m:t>
                      </m:r>
                    </m:sub>
                    <m:sup>
                      <m:d>
                        <m:dPr>
                          <m:ctrlPr>
                            <w:rPr>
                              <w:rFonts w:ascii="Cambria Math" w:hAnsi="Cambria Math"/>
                              <w:i/>
                              <w:sz w:val="22"/>
                              <w:szCs w:val="22"/>
                            </w:rPr>
                          </m:ctrlPr>
                        </m:dPr>
                        <m:e>
                          <m:r>
                            <w:rPr>
                              <w:rFonts w:ascii="Cambria Math" w:hAnsi="Cambria Math"/>
                              <w:sz w:val="22"/>
                              <w:szCs w:val="22"/>
                            </w:rPr>
                            <m:t>a</m:t>
                          </m:r>
                        </m:e>
                      </m:d>
                    </m:sup>
                  </m:sSubSup>
                </m:den>
              </m:f>
              <m: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7</m:t>
                  </m:r>
                </m:e>
              </m:d>
            </m:e>
          </m:eqArr>
        </m:oMath>
      </m:oMathPara>
    </w:p>
    <w:p w14:paraId="5A0A304A" w14:textId="77777777" w:rsidR="00045255" w:rsidRPr="00152B6B" w:rsidRDefault="00045255" w:rsidP="00E11F60">
      <w:pPr>
        <w:widowControl w:val="0"/>
        <w:autoSpaceDE w:val="0"/>
        <w:autoSpaceDN w:val="0"/>
        <w:adjustRightInd w:val="0"/>
        <w:rPr>
          <w:sz w:val="22"/>
          <w:szCs w:val="22"/>
        </w:rPr>
      </w:pPr>
    </w:p>
    <w:p w14:paraId="53EB77A6" w14:textId="258CE5F9" w:rsidR="00045255" w:rsidRPr="00152B6B" w:rsidRDefault="00045255" w:rsidP="00E11F60">
      <w:pPr>
        <w:widowControl w:val="0"/>
        <w:autoSpaceDE w:val="0"/>
        <w:autoSpaceDN w:val="0"/>
        <w:adjustRightInd w:val="0"/>
        <w:rPr>
          <w:sz w:val="22"/>
          <w:szCs w:val="22"/>
        </w:rPr>
      </w:pPr>
      <w:r w:rsidRPr="00152B6B">
        <w:rPr>
          <w:sz w:val="22"/>
          <w:szCs w:val="22"/>
        </w:rPr>
        <w:t xml:space="preserve">where </w:t>
      </w:r>
      <m:oMath>
        <m:r>
          <w:rPr>
            <w:rFonts w:ascii="Cambria Math" w:hAnsi="Cambria Math"/>
            <w:sz w:val="22"/>
            <w:szCs w:val="22"/>
          </w:rPr>
          <m:t>YL</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m:t>
            </m:r>
          </m:sub>
          <m:sup>
            <m:d>
              <m:dPr>
                <m:ctrlPr>
                  <w:rPr>
                    <w:rFonts w:ascii="Cambria Math" w:hAnsi="Cambria Math"/>
                    <w:i/>
                    <w:sz w:val="22"/>
                    <w:szCs w:val="22"/>
                  </w:rPr>
                </m:ctrlPr>
              </m:dPr>
              <m:e>
                <m:r>
                  <w:rPr>
                    <w:rFonts w:ascii="Cambria Math" w:hAnsi="Cambria Math"/>
                    <w:sz w:val="22"/>
                    <w:szCs w:val="22"/>
                  </w:rPr>
                  <m:t>a</m:t>
                </m:r>
              </m:e>
            </m:d>
          </m:sup>
        </m:sSubSup>
      </m:oMath>
      <w:r w:rsidRPr="00152B6B">
        <w:rPr>
          <w:sz w:val="22"/>
          <w:szCs w:val="22"/>
        </w:rPr>
        <w:t xml:space="preserve"> represents the years lived with disease </w:t>
      </w:r>
      <m:oMath>
        <m:r>
          <w:rPr>
            <w:rFonts w:ascii="Cambria Math" w:hAnsi="Cambria Math"/>
            <w:sz w:val="22"/>
            <w:szCs w:val="22"/>
          </w:rPr>
          <m:t>i</m:t>
        </m:r>
      </m:oMath>
      <w:r w:rsidRPr="00152B6B">
        <w:rPr>
          <w:sz w:val="22"/>
          <w:szCs w:val="22"/>
        </w:rPr>
        <w:t xml:space="preserve"> and </w:t>
      </w:r>
      <m:oMath>
        <m:r>
          <w:rPr>
            <w:rFonts w:ascii="Cambria Math" w:hAnsi="Cambria Math"/>
            <w:sz w:val="22"/>
            <w:szCs w:val="22"/>
          </w:rPr>
          <m:t>YL</m:t>
        </m:r>
        <m:sSubSup>
          <m:sSubSupPr>
            <m:ctrlPr>
              <w:rPr>
                <w:rFonts w:ascii="Cambria Math" w:hAnsi="Cambria Math"/>
                <w:i/>
                <w:sz w:val="22"/>
                <w:szCs w:val="22"/>
              </w:rPr>
            </m:ctrlPr>
          </m:sSubSupPr>
          <m:e>
            <m:r>
              <w:rPr>
                <w:rFonts w:ascii="Cambria Math" w:hAnsi="Cambria Math"/>
                <w:sz w:val="22"/>
                <w:szCs w:val="22"/>
              </w:rPr>
              <m:t>L</m:t>
            </m:r>
          </m:e>
          <m:sub>
            <m:r>
              <w:rPr>
                <w:rFonts w:ascii="Cambria Math" w:hAnsi="Cambria Math"/>
                <w:sz w:val="22"/>
                <w:szCs w:val="22"/>
              </w:rPr>
              <m:t>i</m:t>
            </m:r>
          </m:sub>
          <m:sup>
            <m:d>
              <m:dPr>
                <m:ctrlPr>
                  <w:rPr>
                    <w:rFonts w:ascii="Cambria Math" w:hAnsi="Cambria Math"/>
                    <w:i/>
                    <w:sz w:val="22"/>
                    <w:szCs w:val="22"/>
                  </w:rPr>
                </m:ctrlPr>
              </m:dPr>
              <m:e>
                <m:r>
                  <w:rPr>
                    <w:rFonts w:ascii="Cambria Math" w:hAnsi="Cambria Math"/>
                    <w:sz w:val="22"/>
                    <w:szCs w:val="22"/>
                  </w:rPr>
                  <m:t>a</m:t>
                </m:r>
              </m:e>
            </m:d>
          </m:sup>
        </m:sSubSup>
      </m:oMath>
      <w:r w:rsidRPr="00152B6B">
        <w:rPr>
          <w:sz w:val="22"/>
          <w:szCs w:val="22"/>
        </w:rPr>
        <w:t xml:space="preserve"> represents the years of life lost due to disease </w:t>
      </w:r>
      <m:oMath>
        <m:r>
          <w:rPr>
            <w:rFonts w:ascii="Cambria Math" w:hAnsi="Cambria Math"/>
            <w:sz w:val="22"/>
            <w:szCs w:val="22"/>
          </w:rPr>
          <m:t>i</m:t>
        </m:r>
      </m:oMath>
      <w:r w:rsidRPr="00152B6B">
        <w:rPr>
          <w:sz w:val="22"/>
          <w:szCs w:val="22"/>
        </w:rPr>
        <w:t xml:space="preserve">. Notice that </w:t>
      </w:r>
      <m:oMath>
        <m:sSubSup>
          <m:sSubSupPr>
            <m:ctrlPr>
              <w:rPr>
                <w:rFonts w:ascii="Cambria Math" w:hAnsi="Cambria Math"/>
                <w:i/>
                <w:sz w:val="22"/>
                <w:szCs w:val="22"/>
              </w:rPr>
            </m:ctrlPr>
          </m:sSubSupPr>
          <m:e>
            <m:r>
              <w:rPr>
                <w:rFonts w:ascii="Cambria Math" w:hAnsi="Cambria Math"/>
                <w:sz w:val="22"/>
                <w:szCs w:val="22"/>
              </w:rPr>
              <m:t>ξ</m:t>
            </m:r>
          </m:e>
          <m:sub>
            <m:r>
              <w:rPr>
                <w:rFonts w:ascii="Cambria Math" w:hAnsi="Cambria Math"/>
                <w:sz w:val="22"/>
                <w:szCs w:val="22"/>
              </w:rPr>
              <m:t>i</m:t>
            </m:r>
          </m:sub>
          <m:sup>
            <m:d>
              <m:dPr>
                <m:ctrlPr>
                  <w:rPr>
                    <w:rFonts w:ascii="Cambria Math" w:hAnsi="Cambria Math"/>
                    <w:i/>
                    <w:sz w:val="22"/>
                    <w:szCs w:val="22"/>
                  </w:rPr>
                </m:ctrlPr>
              </m:dPr>
              <m:e>
                <m:r>
                  <w:rPr>
                    <w:rFonts w:ascii="Cambria Math" w:hAnsi="Cambria Math"/>
                    <w:sz w:val="22"/>
                    <w:szCs w:val="22"/>
                  </w:rPr>
                  <m:t>a</m:t>
                </m:r>
              </m:e>
            </m:d>
          </m:sup>
        </m:sSubSup>
      </m:oMath>
      <w:r w:rsidRPr="00152B6B">
        <w:rPr>
          <w:sz w:val="22"/>
          <w:szCs w:val="22"/>
        </w:rPr>
        <w:t xml:space="preserve"> can be calculated from the corresponding disability-adjusted life year data reported by the </w:t>
      </w:r>
      <w:r w:rsidRPr="00152B6B">
        <w:rPr>
          <w:rFonts w:hint="eastAsia"/>
          <w:sz w:val="22"/>
          <w:szCs w:val="22"/>
        </w:rPr>
        <w:t xml:space="preserve">Global Burden of Disease </w:t>
      </w:r>
      <w:r w:rsidRPr="00152B6B">
        <w:rPr>
          <w:sz w:val="22"/>
          <w:szCs w:val="22"/>
        </w:rPr>
        <w:t>Study</w:t>
      </w:r>
      <w:r w:rsidR="00D61FC8">
        <w:rPr>
          <w:rFonts w:hint="eastAsia"/>
          <w:sz w:val="22"/>
          <w:szCs w:val="22"/>
        </w:rPr>
        <w:t xml:space="preserve"> </w:t>
      </w:r>
      <w:r w:rsidR="00D61FC8">
        <w:rPr>
          <w:sz w:val="22"/>
          <w:szCs w:val="22"/>
        </w:rPr>
        <w:fldChar w:fldCharType="begin"/>
      </w:r>
      <w:r w:rsidR="00D61FC8">
        <w:rPr>
          <w:sz w:val="22"/>
          <w:szCs w:val="22"/>
        </w:rPr>
        <w:instrText xml:space="preserve"> ADDIN EN.CITE &lt;EndNote&gt;&lt;Cite&gt;&lt;Author&gt;James&lt;/Author&gt;&lt;Year&gt;2018&lt;/Year&gt;&lt;RecNum&gt;965&lt;/RecNum&gt;&lt;DisplayText&gt;[6]&lt;/DisplayText&gt;&lt;record&gt;&lt;rec-number&gt;965&lt;/rec-number&gt;&lt;foreign-keys&gt;&lt;key app="EN" db-id="2209pvwf8w20erevfr0vavppfap0v2zv5rww" timestamp="1548669748"&gt;965&lt;/key&gt;&lt;/foreign-keys&gt;&lt;ref-type name="Journal Article"&gt;17&lt;/ref-type&gt;&lt;contributors&gt;&lt;authors&gt;&lt;author&gt;James, Spencer L&lt;/author&gt;&lt;author&gt;Abate, Degu&lt;/author&gt;&lt;author&gt;Abate, Kalkidan Hassen&lt;/author&gt;&lt;author&gt;Abay, Solomon M&lt;/author&gt;&lt;author&gt;Abbafati, Cristiana&lt;/author&gt;&lt;author&gt;Abbasi, Nooshin&lt;/author&gt;&lt;author&gt;Abbastabar, Hedayat&lt;/author&gt;&lt;author&gt;Abd-Allah, Foad&lt;/author&gt;&lt;author&gt;Abdela, Jemal&lt;/author&gt;&lt;author&gt;Abdelalim, Ahmed&lt;/author&gt;&lt;/authors&gt;&lt;/contributors&gt;&lt;titles&gt;&lt;title&gt;Global, regional, and national incidence, prevalence, and years lived with disability for 354 diseases and injuries for 195 countries and territories, 1990–2017: a systematic analysis for the Global Burden of Disease Study 2017&lt;/title&gt;&lt;secondary-title&gt;The Lancet&lt;/secondary-title&gt;&lt;/titles&gt;&lt;periodical&gt;&lt;full-title&gt;The Lancet&lt;/full-title&gt;&lt;/periodical&gt;&lt;pages&gt;1789-1858&lt;/pages&gt;&lt;volume&gt;392&lt;/volume&gt;&lt;number&gt;10159&lt;/number&gt;&lt;dates&gt;&lt;year&gt;2018&lt;/year&gt;&lt;/dates&gt;&lt;isbn&gt;0140-6736&lt;/isbn&gt;&lt;urls&gt;&lt;/urls&gt;&lt;/record&gt;&lt;/Cite&gt;&lt;/EndNote&gt;</w:instrText>
      </w:r>
      <w:r w:rsidR="00D61FC8">
        <w:rPr>
          <w:sz w:val="22"/>
          <w:szCs w:val="22"/>
        </w:rPr>
        <w:fldChar w:fldCharType="separate"/>
      </w:r>
      <w:r w:rsidR="00D61FC8">
        <w:rPr>
          <w:noProof/>
          <w:sz w:val="22"/>
          <w:szCs w:val="22"/>
        </w:rPr>
        <w:t>[6]</w:t>
      </w:r>
      <w:r w:rsidR="00D61FC8">
        <w:rPr>
          <w:sz w:val="22"/>
          <w:szCs w:val="22"/>
        </w:rPr>
        <w:fldChar w:fldCharType="end"/>
      </w:r>
      <w:r w:rsidR="003E553E" w:rsidRPr="00152B6B">
        <w:rPr>
          <w:rFonts w:hint="eastAsia"/>
          <w:sz w:val="22"/>
          <w:szCs w:val="22"/>
        </w:rPr>
        <w:t>.</w:t>
      </w:r>
      <w:r w:rsidRPr="00152B6B">
        <w:rPr>
          <w:sz w:val="22"/>
          <w:szCs w:val="22"/>
        </w:rPr>
        <w:t xml:space="preserve"> The</w:t>
      </w:r>
      <w:r w:rsidRPr="00152B6B">
        <w:rPr>
          <w:rFonts w:hint="eastAsia"/>
          <w:sz w:val="22"/>
          <w:szCs w:val="22"/>
        </w:rPr>
        <w:t xml:space="preserve"> </w:t>
      </w:r>
      <w:r w:rsidRPr="00152B6B">
        <w:rPr>
          <w:sz w:val="22"/>
          <w:szCs w:val="22"/>
        </w:rPr>
        <w:t xml:space="preserve">disease burden of </w:t>
      </w:r>
      <w:r w:rsidRPr="00152B6B">
        <w:rPr>
          <w:rFonts w:hint="eastAsia"/>
          <w:sz w:val="22"/>
          <w:szCs w:val="22"/>
        </w:rPr>
        <w:t>NCDs</w:t>
      </w:r>
      <w:r w:rsidRPr="00152B6B">
        <w:rPr>
          <w:sz w:val="22"/>
          <w:szCs w:val="22"/>
        </w:rPr>
        <w:t xml:space="preserve"> also impedes the accumulation of physical capital in the sense that savings finance part of the treatment costs. Following </w:t>
      </w:r>
      <w:r w:rsidR="003E553E" w:rsidRPr="00152B6B">
        <w:rPr>
          <w:sz w:val="22"/>
          <w:szCs w:val="22"/>
        </w:rPr>
        <w:fldChar w:fldCharType="begin"/>
      </w:r>
      <w:r w:rsidR="00F971A7" w:rsidRPr="00152B6B">
        <w:rPr>
          <w:sz w:val="22"/>
          <w:szCs w:val="22"/>
        </w:rPr>
        <w:instrText xml:space="preserve"> ADDIN EN.CITE &lt;EndNote&gt;&lt;Cite&gt;&lt;Author&gt;Bloom&lt;/Author&gt;&lt;Year&gt;2018&lt;/Year&gt;&lt;RecNum&gt;781&lt;/RecNum&gt;&lt;DisplayText&gt;[1]&lt;/DisplayText&gt;&lt;record&gt;&lt;rec-number&gt;781&lt;/rec-number&gt;&lt;foreign-keys&gt;&lt;key app="EN" db-id="2209pvwf8w20erevfr0vavppfap0v2zv5rww" timestamp="1538036668"&gt;781&lt;/key&gt;&lt;/foreign-keys&gt;&lt;ref-type name="Journal Article"&gt;17&lt;/ref-type&gt;&lt;contributors&gt;&lt;authors&gt;&lt;author&gt;Bloom, David E.&lt;/author&gt;&lt;author&gt;Chen, Simiao&lt;/author&gt;&lt;author&gt;Kuhn, Michael&lt;/author&gt;&lt;author&gt;McGovern, Mark E.&lt;/author&gt;&lt;author&gt;Oxley, Les&lt;/author&gt;&lt;author&gt;Prettner, Klaus&lt;/author&gt;&lt;/authors&gt;&lt;/contributors&gt;&lt;titles&gt;&lt;title&gt;The economic burden of chronic diseases: estimates and projections for China, Japan, and South Korea&lt;/title&gt;&lt;secondary-title&gt;The Journal of the Economics of Ageing&lt;/secondary-title&gt;&lt;/titles&gt;&lt;periodical&gt;&lt;full-title&gt;The Journal of the Economics of Ageing&lt;/full-title&gt;&lt;/periodical&gt;&lt;keywords&gt;&lt;keyword&gt;Non-communicable Diseases&lt;/keyword&gt;&lt;keyword&gt;Human Capital&lt;/keyword&gt;&lt;keyword&gt;Health Interventions&lt;/keyword&gt;&lt;keyword&gt;Aggregate Output&lt;/keyword&gt;&lt;keyword&gt;Ageing&lt;/keyword&gt;&lt;keyword&gt;East Asia&lt;/keyword&gt;&lt;keyword&gt;H51&lt;/keyword&gt;&lt;keyword&gt;I15&lt;/keyword&gt;&lt;keyword&gt;I18&lt;/keyword&gt;&lt;keyword&gt;J24&lt;/keyword&gt;&lt;keyword&gt;O11&lt;/keyword&gt;&lt;/keywords&gt;&lt;dates&gt;&lt;year&gt;2018&lt;/year&gt;&lt;pub-dates&gt;&lt;date&gt;2018/09/26/&lt;/date&gt;&lt;/pub-dates&gt;&lt;/dates&gt;&lt;isbn&gt;2212-828X&lt;/isbn&gt;&lt;urls&gt;&lt;related-urls&gt;&lt;url&gt;http://www.sciencedirect.com/science/article/pii/S2212828X18300744&lt;/url&gt;&lt;/related-urls&gt;&lt;/urls&gt;&lt;electronic-resource-num&gt;https://doi.org/10.1016/j.jeoa.2018.09.002&lt;/electronic-resource-num&gt;&lt;/record&gt;&lt;/Cite&gt;&lt;/EndNote&gt;</w:instrText>
      </w:r>
      <w:r w:rsidR="003E553E" w:rsidRPr="00152B6B">
        <w:rPr>
          <w:sz w:val="22"/>
          <w:szCs w:val="22"/>
        </w:rPr>
        <w:fldChar w:fldCharType="separate"/>
      </w:r>
      <w:r w:rsidR="00F971A7" w:rsidRPr="00152B6B">
        <w:rPr>
          <w:noProof/>
          <w:sz w:val="22"/>
          <w:szCs w:val="22"/>
        </w:rPr>
        <w:t>[1]</w:t>
      </w:r>
      <w:r w:rsidR="003E553E" w:rsidRPr="00152B6B">
        <w:rPr>
          <w:sz w:val="22"/>
          <w:szCs w:val="22"/>
        </w:rPr>
        <w:fldChar w:fldCharType="end"/>
      </w:r>
      <w:r w:rsidR="003E553E" w:rsidRPr="00152B6B">
        <w:rPr>
          <w:rFonts w:hint="eastAsia"/>
          <w:sz w:val="22"/>
          <w:szCs w:val="22"/>
        </w:rPr>
        <w:t xml:space="preserve">, </w:t>
      </w:r>
      <w:r w:rsidRPr="00152B6B">
        <w:rPr>
          <w:sz w:val="22"/>
          <w:szCs w:val="22"/>
        </w:rPr>
        <w:t>physical capital accumulation in the counterfactual scenario can be written as</w:t>
      </w:r>
    </w:p>
    <w:p w14:paraId="0B5A034F" w14:textId="77777777" w:rsidR="00045255" w:rsidRPr="00152B6B" w:rsidRDefault="00045255" w:rsidP="00E11F60">
      <w:pPr>
        <w:widowControl w:val="0"/>
        <w:autoSpaceDE w:val="0"/>
        <w:autoSpaceDN w:val="0"/>
        <w:adjustRightInd w:val="0"/>
        <w:rPr>
          <w:sz w:val="22"/>
          <w:szCs w:val="22"/>
        </w:rPr>
      </w:pPr>
    </w:p>
    <w:p w14:paraId="173DA5AC" w14:textId="55C21E7B" w:rsidR="00045255" w:rsidRPr="00152B6B" w:rsidRDefault="00082FAB" w:rsidP="00E11F60">
      <w:pPr>
        <w:widowControl w:val="0"/>
        <w:autoSpaceDE w:val="0"/>
        <w:autoSpaceDN w:val="0"/>
        <w:adjustRightInd w:val="0"/>
        <w:rPr>
          <w:sz w:val="22"/>
          <w:szCs w:val="22"/>
        </w:rPr>
      </w:pPr>
      <m:oMathPara>
        <m:oMath>
          <m:eqArr>
            <m:eqArrPr>
              <m:maxDist m:val="1"/>
              <m:ctrlPr>
                <w:rPr>
                  <w:rFonts w:ascii="Cambria Math" w:hAnsi="Cambria Math"/>
                  <w:i/>
                  <w:sz w:val="22"/>
                  <w:szCs w:val="22"/>
                </w:rPr>
              </m:ctrlPr>
            </m:eqArrPr>
            <m:e>
              <m:sSub>
                <m:sSubPr>
                  <m:ctrlPr>
                    <w:rPr>
                      <w:rFonts w:ascii="Cambria Math" w:hAnsi="Cambria Math"/>
                      <w:i/>
                      <w:sz w:val="22"/>
                      <w:szCs w:val="22"/>
                    </w:rPr>
                  </m:ctrlPr>
                </m:sSubPr>
                <m:e>
                  <m:acc>
                    <m:accPr>
                      <m:chr m:val="̅"/>
                      <m:ctrlPr>
                        <w:rPr>
                          <w:rFonts w:ascii="Cambria Math" w:hAnsi="Cambria Math"/>
                          <w:sz w:val="22"/>
                          <w:szCs w:val="22"/>
                        </w:rPr>
                      </m:ctrlPr>
                    </m:accPr>
                    <m:e>
                      <m:r>
                        <w:rPr>
                          <w:rFonts w:ascii="Cambria Math" w:hAnsi="Cambria Math"/>
                          <w:sz w:val="22"/>
                          <w:szCs w:val="22"/>
                        </w:rPr>
                        <m:t>K</m:t>
                      </m:r>
                    </m:e>
                  </m:acc>
                </m:e>
                <m:sub>
                  <m:r>
                    <w:rPr>
                      <w:rFonts w:ascii="Cambria Math" w:hAnsi="Cambria Math"/>
                      <w:sz w:val="22"/>
                      <w:szCs w:val="22"/>
                    </w:rPr>
                    <m:t>t+1</m:t>
                  </m:r>
                </m:sub>
              </m:sSub>
              <m:r>
                <w:rPr>
                  <w:rFonts w:ascii="Cambria Math" w:hAnsi="Cambria Math"/>
                  <w:sz w:val="22"/>
                  <w:szCs w:val="22"/>
                </w:rPr>
                <m:t>=</m:t>
              </m:r>
              <m:sSub>
                <m:sSubPr>
                  <m:ctrlPr>
                    <w:rPr>
                      <w:rFonts w:ascii="Cambria Math" w:hAnsi="Cambria Math"/>
                      <w:i/>
                      <w:sz w:val="22"/>
                      <w:szCs w:val="22"/>
                    </w:rPr>
                  </m:ctrlPr>
                </m:sSubPr>
                <m:e>
                  <m:acc>
                    <m:accPr>
                      <m:chr m:val="̅"/>
                      <m:ctrlPr>
                        <w:rPr>
                          <w:rFonts w:ascii="Cambria Math" w:hAnsi="Cambria Math"/>
                          <w:sz w:val="22"/>
                          <w:szCs w:val="22"/>
                        </w:rPr>
                      </m:ctrlPr>
                    </m:accPr>
                    <m:e>
                      <m:r>
                        <w:rPr>
                          <w:rFonts w:ascii="Cambria Math" w:hAnsi="Cambria Math"/>
                          <w:sz w:val="22"/>
                          <w:szCs w:val="22"/>
                        </w:rPr>
                        <m:t>s</m:t>
                      </m:r>
                    </m:e>
                  </m:acc>
                </m:e>
                <m:sub>
                  <m:r>
                    <w:rPr>
                      <w:rFonts w:ascii="Cambria Math" w:hAnsi="Cambria Math"/>
                      <w:sz w:val="22"/>
                      <w:szCs w:val="22"/>
                    </w:rPr>
                    <m:t>t</m:t>
                  </m:r>
                </m:sub>
              </m:sSub>
              <m:sSub>
                <m:sSubPr>
                  <m:ctrlPr>
                    <w:rPr>
                      <w:rFonts w:ascii="Cambria Math" w:hAnsi="Cambria Math"/>
                      <w:i/>
                      <w:sz w:val="22"/>
                      <w:szCs w:val="22"/>
                    </w:rPr>
                  </m:ctrlPr>
                </m:sSubPr>
                <m:e>
                  <m:acc>
                    <m:accPr>
                      <m:chr m:val="̅"/>
                      <m:ctrlPr>
                        <w:rPr>
                          <w:rFonts w:ascii="Cambria Math" w:hAnsi="Cambria Math"/>
                          <w:sz w:val="22"/>
                          <w:szCs w:val="22"/>
                        </w:rPr>
                      </m:ctrlPr>
                    </m:accPr>
                    <m:e>
                      <m:r>
                        <w:rPr>
                          <w:rFonts w:ascii="Cambria Math" w:hAnsi="Cambria Math"/>
                          <w:sz w:val="22"/>
                          <w:szCs w:val="22"/>
                        </w:rPr>
                        <m:t>Y</m:t>
                      </m:r>
                    </m:e>
                  </m:acc>
                </m:e>
                <m:sub>
                  <m:r>
                    <w:rPr>
                      <w:rFonts w:ascii="Cambria Math" w:hAnsi="Cambria Math"/>
                      <w:sz w:val="22"/>
                      <w:szCs w:val="22"/>
                    </w:rPr>
                    <m:t>t</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1-δ</m:t>
                  </m:r>
                </m:e>
              </m:d>
              <m:sSub>
                <m:sSubPr>
                  <m:ctrlPr>
                    <w:rPr>
                      <w:rFonts w:ascii="Cambria Math" w:hAnsi="Cambria Math"/>
                      <w:i/>
                      <w:sz w:val="22"/>
                      <w:szCs w:val="22"/>
                    </w:rPr>
                  </m:ctrlPr>
                </m:sSubPr>
                <m:e>
                  <m:acc>
                    <m:accPr>
                      <m:chr m:val="̅"/>
                      <m:ctrlPr>
                        <w:rPr>
                          <w:rFonts w:ascii="Cambria Math" w:hAnsi="Cambria Math"/>
                          <w:sz w:val="22"/>
                          <w:szCs w:val="22"/>
                        </w:rPr>
                      </m:ctrlPr>
                    </m:accPr>
                    <m:e>
                      <m:r>
                        <w:rPr>
                          <w:rFonts w:ascii="Cambria Math" w:hAnsi="Cambria Math"/>
                          <w:sz w:val="22"/>
                          <w:szCs w:val="22"/>
                        </w:rPr>
                        <m:t>K</m:t>
                      </m:r>
                    </m:e>
                  </m:acc>
                </m:e>
                <m:sub>
                  <m:r>
                    <w:rPr>
                      <w:rFonts w:ascii="Cambria Math" w:hAnsi="Cambria Math"/>
                      <w:sz w:val="22"/>
                      <w:szCs w:val="22"/>
                    </w:rPr>
                    <m:t>t</m:t>
                  </m:r>
                </m:sub>
              </m:sSub>
              <m: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8</m:t>
                  </m:r>
                </m:e>
              </m:d>
            </m:e>
          </m:eqArr>
        </m:oMath>
      </m:oMathPara>
    </w:p>
    <w:p w14:paraId="33098543" w14:textId="77777777" w:rsidR="00045255" w:rsidRPr="00152B6B" w:rsidRDefault="00045255" w:rsidP="00E11F60">
      <w:pPr>
        <w:widowControl w:val="0"/>
        <w:autoSpaceDE w:val="0"/>
        <w:autoSpaceDN w:val="0"/>
        <w:adjustRightInd w:val="0"/>
        <w:rPr>
          <w:sz w:val="22"/>
          <w:szCs w:val="22"/>
        </w:rPr>
      </w:pPr>
    </w:p>
    <w:p w14:paraId="0F4A23A6" w14:textId="6C67B3CB" w:rsidR="00045255" w:rsidRPr="00152B6B" w:rsidRDefault="00082FAB" w:rsidP="00E11F60">
      <w:pPr>
        <w:widowControl w:val="0"/>
        <w:autoSpaceDE w:val="0"/>
        <w:autoSpaceDN w:val="0"/>
        <w:adjustRightInd w:val="0"/>
        <w:rPr>
          <w:sz w:val="22"/>
          <w:szCs w:val="22"/>
        </w:rPr>
      </w:pPr>
      <m:oMathPara>
        <m:oMathParaPr>
          <m:jc m:val="center"/>
        </m:oMathParaPr>
        <m:oMath>
          <m:sSub>
            <m:sSubPr>
              <m:ctrlPr>
                <w:rPr>
                  <w:rFonts w:ascii="Cambria Math" w:hAnsi="Cambria Math"/>
                  <w:i/>
                  <w:sz w:val="22"/>
                  <w:szCs w:val="22"/>
                </w:rPr>
              </m:ctrlPr>
            </m:sSubPr>
            <m:e>
              <m:acc>
                <m:accPr>
                  <m:chr m:val="̅"/>
                  <m:ctrlPr>
                    <w:rPr>
                      <w:rFonts w:ascii="Cambria Math" w:hAnsi="Cambria Math"/>
                      <w:sz w:val="22"/>
                      <w:szCs w:val="22"/>
                    </w:rPr>
                  </m:ctrlPr>
                </m:accPr>
                <m:e>
                  <m:r>
                    <w:rPr>
                      <w:rFonts w:ascii="Cambria Math" w:hAnsi="Cambria Math"/>
                      <w:sz w:val="22"/>
                      <w:szCs w:val="22"/>
                    </w:rPr>
                    <m:t>s</m:t>
                  </m:r>
                </m:e>
              </m:acc>
            </m:e>
            <m:sub>
              <m:r>
                <w:rPr>
                  <w:rFonts w:ascii="Cambria Math" w:hAnsi="Cambria Math"/>
                  <w:sz w:val="22"/>
                  <w:szCs w:val="22"/>
                </w:rPr>
                <m:t>t</m:t>
              </m:r>
            </m:sub>
          </m:sSub>
          <m:sSub>
            <m:sSubPr>
              <m:ctrlPr>
                <w:rPr>
                  <w:rFonts w:ascii="Cambria Math" w:hAnsi="Cambria Math"/>
                  <w:i/>
                  <w:sz w:val="22"/>
                  <w:szCs w:val="22"/>
                </w:rPr>
              </m:ctrlPr>
            </m:sSubPr>
            <m:e>
              <m:acc>
                <m:accPr>
                  <m:chr m:val="̅"/>
                  <m:ctrlPr>
                    <w:rPr>
                      <w:rFonts w:ascii="Cambria Math" w:hAnsi="Cambria Math"/>
                      <w:sz w:val="22"/>
                      <w:szCs w:val="22"/>
                    </w:rPr>
                  </m:ctrlPr>
                </m:accPr>
                <m:e>
                  <m:r>
                    <w:rPr>
                      <w:rFonts w:ascii="Cambria Math" w:hAnsi="Cambria Math"/>
                      <w:sz w:val="22"/>
                      <w:szCs w:val="22"/>
                    </w:rPr>
                    <m:t>Y</m:t>
                  </m:r>
                </m:e>
              </m:acc>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I</m:t>
                  </m:r>
                </m:e>
              </m:acc>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acc>
                <m:accPr>
                  <m:chr m:val="̅"/>
                  <m:ctrlPr>
                    <w:rPr>
                      <w:rFonts w:ascii="Cambria Math" w:hAnsi="Cambria Math"/>
                      <w:sz w:val="22"/>
                      <w:szCs w:val="22"/>
                    </w:rPr>
                  </m:ctrlPr>
                </m:accPr>
                <m:e>
                  <m:r>
                    <w:rPr>
                      <w:rFonts w:ascii="Cambria Math" w:hAnsi="Cambria Math"/>
                      <w:sz w:val="22"/>
                      <w:szCs w:val="22"/>
                    </w:rPr>
                    <m:t>Y</m:t>
                  </m:r>
                </m:e>
              </m:acc>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acc>
                <m:accPr>
                  <m:chr m:val="̅"/>
                  <m:ctrlPr>
                    <w:rPr>
                      <w:rFonts w:ascii="Cambria Math" w:hAnsi="Cambria Math"/>
                      <w:sz w:val="22"/>
                      <w:szCs w:val="22"/>
                    </w:rPr>
                  </m:ctrlPr>
                </m:accPr>
                <m:e>
                  <m:r>
                    <w:rPr>
                      <w:rFonts w:ascii="Cambria Math" w:hAnsi="Cambria Math"/>
                      <w:sz w:val="22"/>
                      <w:szCs w:val="22"/>
                    </w:rPr>
                    <m:t>C</m:t>
                  </m:r>
                </m:e>
              </m:acc>
            </m:e>
            <m:sub>
              <m:r>
                <w:rPr>
                  <w:rFonts w:ascii="Cambria Math" w:hAnsi="Cambria Math"/>
                  <w:sz w:val="22"/>
                  <w:szCs w:val="22"/>
                </w:rPr>
                <m:t>t</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j∈</m:t>
              </m:r>
              <m:r>
                <m:rPr>
                  <m:sty m:val="p"/>
                </m:rPr>
                <w:rPr>
                  <w:rFonts w:ascii="Cambria Math" w:hAnsi="Cambria Math"/>
                  <w:sz w:val="22"/>
                  <w:szCs w:val="22"/>
                </w:rPr>
                <m:t>Ι,j≠i</m:t>
              </m:r>
            </m:sub>
            <m:sup/>
            <m:e>
              <m:r>
                <w:rPr>
                  <w:rFonts w:ascii="Cambria Math" w:hAnsi="Cambria Math"/>
                  <w:sz w:val="22"/>
                  <w:szCs w:val="22"/>
                </w:rPr>
                <m:t>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j,t</m:t>
                  </m:r>
                </m:sub>
              </m:sSub>
            </m:e>
          </m:nary>
          <m:r>
            <w:rPr>
              <w:rFonts w:ascii="Cambria Math" w:hAnsi="Cambria Math"/>
              <w:sz w:val="22"/>
              <w:szCs w:val="22"/>
            </w:rPr>
            <m:t>=</m:t>
          </m:r>
          <m:sSub>
            <m:sSubPr>
              <m:ctrlPr>
                <w:rPr>
                  <w:rFonts w:ascii="Cambria Math" w:hAnsi="Cambria Math"/>
                  <w:i/>
                  <w:sz w:val="22"/>
                  <w:szCs w:val="22"/>
                </w:rPr>
              </m:ctrlPr>
            </m:sSubPr>
            <m:e>
              <m:r>
                <m:rPr>
                  <m:sty m:val="p"/>
                </m:rPr>
                <w:rPr>
                  <w:rFonts w:ascii="Cambria Math" w:hAnsi="Cambria Math"/>
                  <w:sz w:val="22"/>
                  <w:szCs w:val="22"/>
                </w:rPr>
                <m:t>s</m:t>
              </m:r>
            </m:e>
            <m:sub>
              <m:r>
                <w:rPr>
                  <w:rFonts w:ascii="Cambria Math" w:hAnsi="Cambria Math"/>
                  <w:sz w:val="22"/>
                  <w:szCs w:val="22"/>
                </w:rPr>
                <m:t>t</m:t>
              </m:r>
            </m:sub>
          </m:sSub>
          <m:sSub>
            <m:sSubPr>
              <m:ctrlPr>
                <w:rPr>
                  <w:rFonts w:ascii="Cambria Math" w:hAnsi="Cambria Math"/>
                  <w:i/>
                  <w:sz w:val="22"/>
                  <w:szCs w:val="22"/>
                </w:rPr>
              </m:ctrlPr>
            </m:sSubPr>
            <m:e>
              <m:acc>
                <m:accPr>
                  <m:chr m:val="̅"/>
                  <m:ctrlPr>
                    <w:rPr>
                      <w:rFonts w:ascii="Cambria Math" w:hAnsi="Cambria Math"/>
                      <w:sz w:val="22"/>
                      <w:szCs w:val="22"/>
                    </w:rPr>
                  </m:ctrlPr>
                </m:accPr>
                <m:e>
                  <m:r>
                    <w:rPr>
                      <w:rFonts w:ascii="Cambria Math" w:hAnsi="Cambria Math"/>
                      <w:sz w:val="22"/>
                      <w:szCs w:val="22"/>
                    </w:rPr>
                    <m:t>Y</m:t>
                  </m:r>
                </m:e>
              </m:acc>
            </m:e>
            <m:sub>
              <m:r>
                <w:rPr>
                  <w:rFonts w:ascii="Cambria Math" w:hAnsi="Cambria Math"/>
                  <w:sz w:val="22"/>
                  <w:szCs w:val="22"/>
                </w:rPr>
                <m:t>t</m:t>
              </m:r>
            </m:sub>
          </m:sSub>
          <m:r>
            <w:rPr>
              <w:rFonts w:ascii="Cambria Math" w:hAnsi="Cambria Math"/>
              <w:sz w:val="22"/>
              <w:szCs w:val="22"/>
            </w:rPr>
            <m:t>+χT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i,t</m:t>
              </m:r>
            </m:sub>
          </m:sSub>
        </m:oMath>
      </m:oMathPara>
    </w:p>
    <w:p w14:paraId="2A4655A6" w14:textId="77777777" w:rsidR="00045255" w:rsidRPr="00152B6B" w:rsidRDefault="00045255" w:rsidP="00E11F60">
      <w:pPr>
        <w:widowControl w:val="0"/>
        <w:autoSpaceDE w:val="0"/>
        <w:autoSpaceDN w:val="0"/>
        <w:adjustRightInd w:val="0"/>
        <w:rPr>
          <w:sz w:val="22"/>
          <w:szCs w:val="22"/>
        </w:rPr>
      </w:pPr>
    </w:p>
    <w:p w14:paraId="67507993" w14:textId="2D2D0F5D" w:rsidR="00045255" w:rsidRPr="00152B6B" w:rsidRDefault="00045255" w:rsidP="00E11F60">
      <w:pPr>
        <w:widowControl w:val="0"/>
        <w:autoSpaceDE w:val="0"/>
        <w:autoSpaceDN w:val="0"/>
        <w:adjustRightInd w:val="0"/>
        <w:rPr>
          <w:sz w:val="22"/>
          <w:szCs w:val="22"/>
        </w:rPr>
      </w:pPr>
      <w:r w:rsidRPr="00152B6B">
        <w:rPr>
          <w:sz w:val="22"/>
          <w:szCs w:val="22"/>
        </w:rPr>
        <w:t xml:space="preserve">where </w:t>
      </w:r>
      <m:oMath>
        <m:sSub>
          <m:sSubPr>
            <m:ctrlPr>
              <w:rPr>
                <w:rFonts w:ascii="Cambria Math" w:hAnsi="Cambria Math"/>
                <w:i/>
                <w:sz w:val="22"/>
                <w:szCs w:val="22"/>
              </w:rPr>
            </m:ctrlPr>
          </m:sSubPr>
          <m:e>
            <m:acc>
              <m:accPr>
                <m:chr m:val="̅"/>
                <m:ctrlPr>
                  <w:rPr>
                    <w:rFonts w:ascii="Cambria Math" w:hAnsi="Cambria Math"/>
                    <w:sz w:val="22"/>
                    <w:szCs w:val="22"/>
                  </w:rPr>
                </m:ctrlPr>
              </m:accPr>
              <m:e>
                <m:r>
                  <w:rPr>
                    <w:rFonts w:ascii="Cambria Math" w:hAnsi="Cambria Math"/>
                    <w:sz w:val="22"/>
                    <w:szCs w:val="22"/>
                  </w:rPr>
                  <m:t>s</m:t>
                </m:r>
              </m:e>
            </m:acc>
          </m:e>
          <m:sub>
            <m:r>
              <w:rPr>
                <w:rFonts w:ascii="Cambria Math" w:hAnsi="Cambria Math"/>
                <w:sz w:val="22"/>
                <w:szCs w:val="22"/>
              </w:rPr>
              <m:t>t</m:t>
            </m:r>
          </m:sub>
        </m:sSub>
      </m:oMath>
      <w:r w:rsidRPr="00152B6B">
        <w:rPr>
          <w:sz w:val="22"/>
          <w:szCs w:val="22"/>
        </w:rPr>
        <w:t xml:space="preserve"> is the savings rate in the counterfactual scenario. This savings rate is in turn defined by</w:t>
      </w:r>
    </w:p>
    <w:p w14:paraId="1554E60E" w14:textId="34B32180" w:rsidR="00045255" w:rsidRPr="00152B6B" w:rsidRDefault="00045255" w:rsidP="00E11F60">
      <w:pPr>
        <w:widowControl w:val="0"/>
        <w:autoSpaceDE w:val="0"/>
        <w:autoSpaceDN w:val="0"/>
        <w:adjustRightInd w:val="0"/>
        <w:rPr>
          <w:sz w:val="22"/>
          <w:szCs w:val="22"/>
        </w:rPr>
      </w:pPr>
    </w:p>
    <w:p w14:paraId="750A5EE8" w14:textId="44E08F43" w:rsidR="00045255" w:rsidRPr="00152B6B" w:rsidRDefault="00082FAB" w:rsidP="00E11F60">
      <w:pPr>
        <w:widowControl w:val="0"/>
        <w:autoSpaceDE w:val="0"/>
        <w:autoSpaceDN w:val="0"/>
        <w:adjustRightInd w:val="0"/>
        <w:rPr>
          <w:sz w:val="22"/>
          <w:szCs w:val="22"/>
        </w:rPr>
      </w:pPr>
      <m:oMathPara>
        <m:oMathParaPr>
          <m:jc m:val="center"/>
        </m:oMathParaPr>
        <m:oMath>
          <m:sSub>
            <m:sSubPr>
              <m:ctrlPr>
                <w:rPr>
                  <w:rFonts w:ascii="Cambria Math" w:hAnsi="Cambria Math"/>
                  <w:i/>
                  <w:sz w:val="22"/>
                  <w:szCs w:val="22"/>
                </w:rPr>
              </m:ctrlPr>
            </m:sSubPr>
            <m:e>
              <m:acc>
                <m:accPr>
                  <m:chr m:val="̅"/>
                  <m:ctrlPr>
                    <w:rPr>
                      <w:rFonts w:ascii="Cambria Math" w:hAnsi="Cambria Math"/>
                      <w:sz w:val="22"/>
                      <w:szCs w:val="22"/>
                    </w:rPr>
                  </m:ctrlPr>
                </m:accPr>
                <m:e>
                  <m:r>
                    <w:rPr>
                      <w:rFonts w:ascii="Cambria Math" w:hAnsi="Cambria Math"/>
                      <w:sz w:val="22"/>
                      <w:szCs w:val="22"/>
                    </w:rPr>
                    <m:t>s</m:t>
                  </m:r>
                </m:e>
              </m:acc>
            </m:e>
            <m:sub>
              <m:r>
                <w:rPr>
                  <w:rFonts w:ascii="Cambria Math" w:hAnsi="Cambria Math"/>
                  <w:sz w:val="22"/>
                  <w:szCs w:val="22"/>
                </w:rPr>
                <m:t>t</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t</m:t>
                  </m:r>
                </m:sub>
              </m:sSub>
              <m:sSub>
                <m:sSubPr>
                  <m:ctrlPr>
                    <w:rPr>
                      <w:rFonts w:ascii="Cambria Math" w:hAnsi="Cambria Math"/>
                      <w:i/>
                      <w:sz w:val="22"/>
                      <w:szCs w:val="22"/>
                    </w:rPr>
                  </m:ctrlPr>
                </m:sSubPr>
                <m:e>
                  <m:acc>
                    <m:accPr>
                      <m:chr m:val="̅"/>
                      <m:ctrlPr>
                        <w:rPr>
                          <w:rFonts w:ascii="Cambria Math" w:hAnsi="Cambria Math"/>
                          <w:sz w:val="22"/>
                          <w:szCs w:val="22"/>
                        </w:rPr>
                      </m:ctrlPr>
                    </m:accPr>
                    <m:e>
                      <m:r>
                        <w:rPr>
                          <w:rFonts w:ascii="Cambria Math" w:hAnsi="Cambria Math"/>
                          <w:sz w:val="22"/>
                          <w:szCs w:val="22"/>
                        </w:rPr>
                        <m:t>Y</m:t>
                      </m:r>
                    </m:e>
                  </m:acc>
                </m:e>
                <m:sub>
                  <m:r>
                    <w:rPr>
                      <w:rFonts w:ascii="Cambria Math" w:hAnsi="Cambria Math"/>
                      <w:sz w:val="22"/>
                      <w:szCs w:val="22"/>
                    </w:rPr>
                    <m:t>t</m:t>
                  </m:r>
                </m:sub>
              </m:sSub>
              <m:r>
                <w:rPr>
                  <w:rFonts w:ascii="Cambria Math" w:hAnsi="Cambria Math"/>
                  <w:sz w:val="22"/>
                  <w:szCs w:val="22"/>
                </w:rPr>
                <m:t>+χT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i,t</m:t>
                  </m:r>
                </m:sub>
              </m:sSub>
            </m:num>
            <m:den>
              <m:sSub>
                <m:sSubPr>
                  <m:ctrlPr>
                    <w:rPr>
                      <w:rFonts w:ascii="Cambria Math" w:hAnsi="Cambria Math"/>
                      <w:i/>
                      <w:sz w:val="22"/>
                      <w:szCs w:val="22"/>
                    </w:rPr>
                  </m:ctrlPr>
                </m:sSubPr>
                <m:e>
                  <m:acc>
                    <m:accPr>
                      <m:chr m:val="̅"/>
                      <m:ctrlPr>
                        <w:rPr>
                          <w:rFonts w:ascii="Cambria Math" w:hAnsi="Cambria Math"/>
                          <w:sz w:val="22"/>
                          <w:szCs w:val="22"/>
                        </w:rPr>
                      </m:ctrlPr>
                    </m:accPr>
                    <m:e>
                      <m:r>
                        <w:rPr>
                          <w:rFonts w:ascii="Cambria Math" w:hAnsi="Cambria Math"/>
                          <w:sz w:val="22"/>
                          <w:szCs w:val="22"/>
                        </w:rPr>
                        <m:t>Y</m:t>
                      </m:r>
                    </m:e>
                  </m:acc>
                </m:e>
                <m:sub>
                  <m:r>
                    <w:rPr>
                      <w:rFonts w:ascii="Cambria Math" w:hAnsi="Cambria Math"/>
                      <w:sz w:val="22"/>
                      <w:szCs w:val="22"/>
                    </w:rPr>
                    <m:t>t</m:t>
                  </m:r>
                </m:sub>
              </m:sSub>
            </m:den>
          </m:f>
        </m:oMath>
      </m:oMathPara>
    </w:p>
    <w:p w14:paraId="29E7D07C" w14:textId="75E4D0E2" w:rsidR="00045255" w:rsidRPr="00152B6B" w:rsidRDefault="00045255" w:rsidP="00E11F60">
      <w:pPr>
        <w:widowControl w:val="0"/>
        <w:autoSpaceDE w:val="0"/>
        <w:autoSpaceDN w:val="0"/>
        <w:adjustRightInd w:val="0"/>
        <w:rPr>
          <w:sz w:val="22"/>
          <w:szCs w:val="22"/>
        </w:rPr>
      </w:pPr>
    </w:p>
    <w:p w14:paraId="47986CFC" w14:textId="19EED6DE" w:rsidR="00A66638" w:rsidRPr="00152B6B" w:rsidRDefault="00045255" w:rsidP="00E11F60">
      <w:pPr>
        <w:widowControl w:val="0"/>
        <w:autoSpaceDE w:val="0"/>
        <w:autoSpaceDN w:val="0"/>
        <w:adjustRightInd w:val="0"/>
        <w:rPr>
          <w:sz w:val="22"/>
          <w:szCs w:val="22"/>
        </w:rPr>
      </w:pPr>
      <w:r w:rsidRPr="00152B6B">
        <w:rPr>
          <w:sz w:val="22"/>
          <w:szCs w:val="22"/>
        </w:rPr>
        <w:t xml:space="preserve">where </w:t>
      </w:r>
      <m:oMath>
        <m:r>
          <w:rPr>
            <w:rFonts w:ascii="Cambria Math" w:hAnsi="Cambria Math"/>
            <w:sz w:val="22"/>
            <w:szCs w:val="22"/>
          </w:rPr>
          <m:t>χ</m:t>
        </m:r>
      </m:oMath>
      <w:r w:rsidRPr="00152B6B">
        <w:rPr>
          <w:sz w:val="22"/>
          <w:szCs w:val="22"/>
        </w:rPr>
        <w:t xml:space="preserve"> is the fraction of the treatment cost that is diverted to savings and </w:t>
      </w:r>
      <m:oMath>
        <m:r>
          <w:rPr>
            <w:rFonts w:ascii="Cambria Math" w:hAnsi="Cambria Math"/>
            <w:sz w:val="22"/>
            <w:szCs w:val="22"/>
          </w:rPr>
          <m:t>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i,t</m:t>
            </m:r>
          </m:sub>
        </m:sSub>
      </m:oMath>
      <w:r w:rsidRPr="00152B6B">
        <w:rPr>
          <w:sz w:val="22"/>
          <w:szCs w:val="22"/>
        </w:rPr>
        <w:t xml:space="preserve"> is the treatment cost for disease </w:t>
      </w:r>
      <m:oMath>
        <m:r>
          <w:rPr>
            <w:rFonts w:ascii="Cambria Math" w:hAnsi="Cambria Math"/>
            <w:sz w:val="22"/>
            <w:szCs w:val="22"/>
          </w:rPr>
          <m:t>i</m:t>
        </m:r>
      </m:oMath>
      <w:r w:rsidRPr="00152B6B">
        <w:rPr>
          <w:sz w:val="22"/>
          <w:szCs w:val="22"/>
        </w:rPr>
        <w:t xml:space="preserve"> at time </w:t>
      </w:r>
      <m:oMath>
        <m:r>
          <w:rPr>
            <w:rFonts w:ascii="Cambria Math" w:hAnsi="Cambria Math"/>
            <w:sz w:val="22"/>
            <w:szCs w:val="22"/>
          </w:rPr>
          <m:t>t</m:t>
        </m:r>
      </m:oMath>
      <w:r w:rsidR="003E553E" w:rsidRPr="00152B6B">
        <w:rPr>
          <w:sz w:val="22"/>
          <w:szCs w:val="22"/>
        </w:rPr>
        <w:t>.</w:t>
      </w:r>
    </w:p>
    <w:p w14:paraId="627EE96A" w14:textId="77777777" w:rsidR="00A343B3" w:rsidRPr="00152B6B" w:rsidRDefault="00A343B3" w:rsidP="00E11F60">
      <w:pPr>
        <w:widowControl w:val="0"/>
        <w:autoSpaceDE w:val="0"/>
        <w:autoSpaceDN w:val="0"/>
        <w:adjustRightInd w:val="0"/>
        <w:rPr>
          <w:sz w:val="22"/>
          <w:szCs w:val="22"/>
        </w:rPr>
      </w:pPr>
    </w:p>
    <w:p w14:paraId="5D01ED67" w14:textId="77777777" w:rsidR="005609BF" w:rsidRPr="005609BF" w:rsidRDefault="005609BF" w:rsidP="005609BF">
      <w:pPr>
        <w:outlineLvl w:val="0"/>
        <w:rPr>
          <w:rFonts w:eastAsia="DengXian"/>
          <w:sz w:val="36"/>
          <w:szCs w:val="36"/>
          <w:lang w:eastAsia="en-US"/>
        </w:rPr>
      </w:pPr>
      <w:r w:rsidRPr="005609BF">
        <w:rPr>
          <w:rFonts w:eastAsia="DengXian"/>
          <w:b/>
          <w:sz w:val="36"/>
          <w:szCs w:val="36"/>
          <w:lang w:eastAsia="en-US"/>
        </w:rPr>
        <w:t>B. Data sources</w:t>
      </w:r>
    </w:p>
    <w:p w14:paraId="2DFD64A8" w14:textId="77777777" w:rsidR="005609BF" w:rsidRDefault="005609BF" w:rsidP="005609BF">
      <w:pPr>
        <w:jc w:val="both"/>
        <w:rPr>
          <w:rFonts w:eastAsia="DengXian"/>
          <w:sz w:val="22"/>
          <w:szCs w:val="22"/>
        </w:rPr>
      </w:pPr>
    </w:p>
    <w:p w14:paraId="733CF11E" w14:textId="425E5FE8" w:rsidR="00FD48B8" w:rsidRDefault="00445575" w:rsidP="00B0359A">
      <w:pPr>
        <w:pStyle w:val="ListParagraph"/>
        <w:spacing w:before="120" w:after="120" w:line="259" w:lineRule="auto"/>
        <w:ind w:left="0"/>
        <w:jc w:val="both"/>
        <w:rPr>
          <w:rFonts w:ascii="Times New Roman" w:hAnsi="Times New Roman" w:cs="Times New Roman"/>
          <w:sz w:val="22"/>
          <w:szCs w:val="22"/>
          <w:lang w:eastAsia="zh-CN"/>
        </w:rPr>
      </w:pPr>
      <w:r>
        <w:rPr>
          <w:rFonts w:ascii="Times New Roman" w:hAnsi="Times New Roman" w:cs="Times New Roman"/>
          <w:sz w:val="22"/>
          <w:szCs w:val="22"/>
          <w:lang w:eastAsia="zh-CN"/>
        </w:rPr>
        <w:t>Table A</w:t>
      </w:r>
      <w:r w:rsidR="005609BF" w:rsidRPr="00B0359A">
        <w:rPr>
          <w:rFonts w:ascii="Times New Roman" w:hAnsi="Times New Roman" w:cs="Times New Roman"/>
          <w:sz w:val="22"/>
          <w:szCs w:val="22"/>
          <w:lang w:eastAsia="zh-CN"/>
        </w:rPr>
        <w:t xml:space="preserve"> shows the estimates of treatment cost</w:t>
      </w:r>
      <w:r w:rsidR="00805455" w:rsidRPr="00B0359A">
        <w:rPr>
          <w:rFonts w:ascii="Times New Roman" w:hAnsi="Times New Roman" w:cs="Times New Roman"/>
          <w:sz w:val="22"/>
          <w:szCs w:val="22"/>
          <w:lang w:eastAsia="zh-CN"/>
        </w:rPr>
        <w:t>s</w:t>
      </w:r>
      <w:r w:rsidR="005609BF" w:rsidRPr="00B0359A">
        <w:rPr>
          <w:rFonts w:ascii="Times New Roman" w:hAnsi="Times New Roman" w:cs="Times New Roman"/>
          <w:sz w:val="22"/>
          <w:szCs w:val="22"/>
          <w:lang w:eastAsia="zh-CN"/>
        </w:rPr>
        <w:t xml:space="preserve"> </w:t>
      </w:r>
      <w:r w:rsidR="00805455" w:rsidRPr="00B0359A">
        <w:rPr>
          <w:rFonts w:ascii="Times New Roman" w:hAnsi="Times New Roman" w:cs="Times New Roman"/>
          <w:sz w:val="22"/>
          <w:szCs w:val="22"/>
          <w:lang w:eastAsia="zh-CN"/>
        </w:rPr>
        <w:t>for</w:t>
      </w:r>
      <w:r w:rsidR="005609BF" w:rsidRPr="00B0359A">
        <w:rPr>
          <w:rFonts w:ascii="Times New Roman" w:hAnsi="Times New Roman" w:cs="Times New Roman"/>
          <w:sz w:val="22"/>
          <w:szCs w:val="22"/>
          <w:lang w:eastAsia="zh-CN"/>
        </w:rPr>
        <w:t xml:space="preserve"> NCDs associated with air pollution in China </w:t>
      </w:r>
      <w:r w:rsidR="00FA5AAD" w:rsidRPr="00B0359A">
        <w:rPr>
          <w:rFonts w:ascii="Times New Roman" w:hAnsi="Times New Roman" w:cs="Times New Roman"/>
          <w:sz w:val="22"/>
          <w:szCs w:val="22"/>
          <w:lang w:eastAsia="zh-CN"/>
        </w:rPr>
        <w:t xml:space="preserve">as of 2015 </w:t>
      </w:r>
      <w:r w:rsidR="005609BF" w:rsidRPr="00B0359A">
        <w:rPr>
          <w:rFonts w:ascii="Times New Roman" w:hAnsi="Times New Roman" w:cs="Times New Roman"/>
          <w:sz w:val="22"/>
          <w:szCs w:val="22"/>
          <w:lang w:eastAsia="zh-CN"/>
        </w:rPr>
        <w:t xml:space="preserve">(in </w:t>
      </w:r>
      <w:r w:rsidR="00FA5AAD" w:rsidRPr="00B0359A">
        <w:rPr>
          <w:rFonts w:ascii="Times New Roman" w:hAnsi="Times New Roman" w:cs="Times New Roman"/>
          <w:sz w:val="22"/>
          <w:szCs w:val="22"/>
          <w:lang w:eastAsia="zh-CN"/>
        </w:rPr>
        <w:t xml:space="preserve">constant </w:t>
      </w:r>
      <w:r w:rsidR="005609BF" w:rsidRPr="00B0359A">
        <w:rPr>
          <w:rFonts w:ascii="Times New Roman" w:hAnsi="Times New Roman" w:cs="Times New Roman"/>
          <w:sz w:val="22"/>
          <w:szCs w:val="22"/>
          <w:lang w:eastAsia="zh-CN"/>
        </w:rPr>
        <w:t xml:space="preserve">2010 USD). </w:t>
      </w:r>
    </w:p>
    <w:p w14:paraId="0B8CFE9C" w14:textId="77777777" w:rsidR="00FD48B8" w:rsidRDefault="00FD48B8" w:rsidP="00B0359A">
      <w:pPr>
        <w:pStyle w:val="ListParagraph"/>
        <w:spacing w:before="120" w:after="120" w:line="259" w:lineRule="auto"/>
        <w:ind w:left="0"/>
        <w:jc w:val="both"/>
        <w:rPr>
          <w:rFonts w:ascii="Times New Roman" w:hAnsi="Times New Roman" w:cs="Times New Roman"/>
          <w:sz w:val="22"/>
          <w:szCs w:val="22"/>
          <w:lang w:eastAsia="zh-CN"/>
        </w:rPr>
      </w:pPr>
    </w:p>
    <w:p w14:paraId="350B8472" w14:textId="03FAF76D" w:rsidR="00FA5AAD" w:rsidRPr="00B0359A" w:rsidRDefault="00FA5AAD" w:rsidP="00B0359A">
      <w:pPr>
        <w:pStyle w:val="ListParagraph"/>
        <w:spacing w:before="120" w:after="120" w:line="259" w:lineRule="auto"/>
        <w:ind w:left="0"/>
        <w:jc w:val="both"/>
        <w:rPr>
          <w:rFonts w:ascii="Times New Roman" w:hAnsi="Times New Roman" w:cs="Times New Roman"/>
          <w:sz w:val="22"/>
          <w:szCs w:val="22"/>
          <w:lang w:eastAsia="zh-CN"/>
        </w:rPr>
      </w:pPr>
      <w:r w:rsidRPr="00B0359A">
        <w:rPr>
          <w:rFonts w:ascii="Times New Roman" w:hAnsi="Times New Roman" w:cs="Times New Roman"/>
          <w:sz w:val="22"/>
          <w:szCs w:val="22"/>
          <w:lang w:eastAsia="zh-CN"/>
        </w:rPr>
        <w:t>For diabetes, we obtained t</w:t>
      </w:r>
      <w:r w:rsidR="003B1949" w:rsidRPr="00F43B9E">
        <w:rPr>
          <w:rFonts w:ascii="Times New Roman" w:hAnsi="Times New Roman" w:cs="Times New Roman"/>
          <w:sz w:val="22"/>
          <w:szCs w:val="22"/>
          <w:lang w:eastAsia="zh-CN"/>
        </w:rPr>
        <w:t>he treatment cost information for</w:t>
      </w:r>
      <w:r w:rsidRPr="00B0359A">
        <w:rPr>
          <w:rFonts w:ascii="Times New Roman" w:hAnsi="Times New Roman" w:cs="Times New Roman"/>
          <w:sz w:val="22"/>
          <w:szCs w:val="22"/>
          <w:lang w:eastAsia="zh-CN"/>
        </w:rPr>
        <w:t xml:space="preserve"> China from the International Diabetes Federation </w:t>
      </w:r>
      <w:r w:rsidRPr="00B0359A">
        <w:rPr>
          <w:rFonts w:ascii="Times New Roman" w:hAnsi="Times New Roman" w:cs="Times New Roman"/>
          <w:sz w:val="22"/>
          <w:szCs w:val="22"/>
          <w:lang w:eastAsia="zh-CN"/>
        </w:rPr>
        <w:fldChar w:fldCharType="begin"/>
      </w:r>
      <w:r w:rsidR="00D61FC8">
        <w:rPr>
          <w:rFonts w:ascii="Times New Roman" w:hAnsi="Times New Roman" w:cs="Times New Roman"/>
          <w:sz w:val="22"/>
          <w:szCs w:val="22"/>
          <w:lang w:eastAsia="zh-CN"/>
        </w:rPr>
        <w:instrText xml:space="preserve"> ADDIN EN.CITE &lt;EndNote&gt;&lt;Cite&gt;&lt;Author&gt;International Diabetes Federation&lt;/Author&gt;&lt;Year&gt;2015&lt;/Year&gt;&lt;RecNum&gt;141&lt;/RecNum&gt;&lt;DisplayText&gt;[7]&lt;/DisplayText&gt;&lt;record&gt;&lt;rec-number&gt;141&lt;/rec-number&gt;&lt;foreign-keys&gt;&lt;key app="EN" db-id="2209pvwf8w20erevfr0vavppfap0v2zv5rww" timestamp="1509904373"&gt;141&lt;/key&gt;&lt;/foreign-keys&gt;&lt;ref-type name="Report"&gt;27&lt;/ref-type&gt;&lt;contributors&gt;&lt;authors&gt;&lt;author&gt;International Diabetes Federation,&lt;/author&gt;&lt;/authors&gt;&lt;/contributors&gt;&lt;titles&gt;&lt;title&gt;IDF Diabetes Atlas 7th Edition&lt;/title&gt;&lt;/titles&gt;&lt;dates&gt;&lt;year&gt;2015&lt;/year&gt;&lt;/dates&gt;&lt;pub-location&gt;Brussels, Belgium&lt;/pub-location&gt;&lt;publisher&gt;International Diabetes Federation&lt;/publisher&gt;&lt;urls&gt;&lt;related-urls&gt;&lt;url&gt;https://www.idf.org/e-library/epidemiology-research/diabetes-atlas/13-diabetes-atlas-seventh-edition.html&lt;/url&gt;&lt;/related-urls&gt;&lt;/urls&gt;&lt;/record&gt;&lt;/Cite&gt;&lt;/EndNote&gt;</w:instrText>
      </w:r>
      <w:r w:rsidRPr="00B0359A">
        <w:rPr>
          <w:rFonts w:ascii="Times New Roman" w:hAnsi="Times New Roman" w:cs="Times New Roman"/>
          <w:sz w:val="22"/>
          <w:szCs w:val="22"/>
          <w:lang w:eastAsia="zh-CN"/>
        </w:rPr>
        <w:fldChar w:fldCharType="separate"/>
      </w:r>
      <w:r w:rsidR="00D61FC8">
        <w:rPr>
          <w:rFonts w:ascii="Times New Roman" w:hAnsi="Times New Roman" w:cs="Times New Roman"/>
          <w:noProof/>
          <w:sz w:val="22"/>
          <w:szCs w:val="22"/>
          <w:lang w:eastAsia="zh-CN"/>
        </w:rPr>
        <w:t>[7]</w:t>
      </w:r>
      <w:r w:rsidRPr="00B0359A">
        <w:rPr>
          <w:rFonts w:ascii="Times New Roman" w:hAnsi="Times New Roman" w:cs="Times New Roman"/>
          <w:sz w:val="22"/>
          <w:szCs w:val="22"/>
          <w:lang w:eastAsia="zh-CN"/>
        </w:rPr>
        <w:fldChar w:fldCharType="end"/>
      </w:r>
      <w:r w:rsidRPr="00B0359A">
        <w:rPr>
          <w:rFonts w:ascii="Times New Roman" w:hAnsi="Times New Roman" w:cs="Times New Roman"/>
          <w:sz w:val="22"/>
          <w:szCs w:val="22"/>
          <w:lang w:eastAsia="zh-CN"/>
        </w:rPr>
        <w:t xml:space="preserve">. </w:t>
      </w:r>
    </w:p>
    <w:p w14:paraId="15E4D77E" w14:textId="77777777" w:rsidR="00FA5AAD" w:rsidRPr="00B0359A" w:rsidRDefault="00FA5AAD" w:rsidP="00FA5AAD">
      <w:pPr>
        <w:pStyle w:val="ListParagraph"/>
        <w:spacing w:before="120" w:after="120" w:line="259" w:lineRule="auto"/>
        <w:ind w:left="360"/>
        <w:jc w:val="both"/>
        <w:rPr>
          <w:rFonts w:ascii="Times New Roman" w:hAnsi="Times New Roman" w:cs="Times New Roman"/>
          <w:sz w:val="22"/>
          <w:szCs w:val="22"/>
          <w:lang w:eastAsia="zh-CN"/>
        </w:rPr>
      </w:pPr>
    </w:p>
    <w:p w14:paraId="072BBA98" w14:textId="7A7962D5" w:rsidR="00FA5AAD" w:rsidRPr="00B0359A" w:rsidRDefault="00FA5AAD" w:rsidP="00B0359A">
      <w:pPr>
        <w:pStyle w:val="ListParagraph"/>
        <w:spacing w:before="120" w:after="120" w:line="259" w:lineRule="auto"/>
        <w:ind w:left="0"/>
        <w:jc w:val="both"/>
        <w:rPr>
          <w:rFonts w:ascii="Times New Roman" w:hAnsi="Times New Roman" w:cs="Times New Roman"/>
          <w:sz w:val="22"/>
          <w:szCs w:val="22"/>
          <w:lang w:eastAsia="zh-CN"/>
        </w:rPr>
      </w:pPr>
      <w:r w:rsidRPr="00B0359A">
        <w:rPr>
          <w:rFonts w:ascii="Times New Roman" w:hAnsi="Times New Roman" w:cs="Times New Roman"/>
          <w:sz w:val="22"/>
          <w:szCs w:val="22"/>
          <w:lang w:eastAsia="zh-CN"/>
        </w:rPr>
        <w:t>For the other three disease categories, to our be</w:t>
      </w:r>
      <w:r w:rsidR="00791D97" w:rsidRPr="00B21B08">
        <w:rPr>
          <w:rFonts w:ascii="Times New Roman" w:hAnsi="Times New Roman" w:cs="Times New Roman"/>
          <w:sz w:val="22"/>
          <w:szCs w:val="22"/>
          <w:lang w:eastAsia="zh-CN"/>
        </w:rPr>
        <w:t>st knowledge, no treatment cost</w:t>
      </w:r>
      <w:r w:rsidRPr="00B0359A">
        <w:rPr>
          <w:rFonts w:ascii="Times New Roman" w:hAnsi="Times New Roman" w:cs="Times New Roman"/>
          <w:sz w:val="22"/>
          <w:szCs w:val="22"/>
          <w:lang w:eastAsia="zh-CN"/>
        </w:rPr>
        <w:t xml:space="preserve"> data for China is available. Thus</w:t>
      </w:r>
      <w:r w:rsidR="00791D97" w:rsidRPr="00791D97">
        <w:rPr>
          <w:rFonts w:ascii="Times New Roman" w:hAnsi="Times New Roman" w:cs="Times New Roman"/>
          <w:sz w:val="22"/>
          <w:szCs w:val="22"/>
          <w:lang w:eastAsia="zh-CN"/>
        </w:rPr>
        <w:t>, we sourced the treatment cost</w:t>
      </w:r>
      <w:r w:rsidRPr="00B0359A">
        <w:rPr>
          <w:rFonts w:ascii="Times New Roman" w:hAnsi="Times New Roman" w:cs="Times New Roman"/>
          <w:sz w:val="22"/>
          <w:szCs w:val="22"/>
          <w:lang w:eastAsia="zh-CN"/>
        </w:rPr>
        <w:t xml:space="preserve"> data from other countries.</w:t>
      </w:r>
    </w:p>
    <w:p w14:paraId="33A20713" w14:textId="77777777" w:rsidR="00FA5AAD" w:rsidRPr="00B0359A" w:rsidRDefault="00FA5AAD" w:rsidP="00FA5AAD">
      <w:pPr>
        <w:pStyle w:val="ListParagraph"/>
        <w:spacing w:before="120" w:after="120" w:line="259" w:lineRule="auto"/>
        <w:ind w:left="360"/>
        <w:jc w:val="both"/>
        <w:rPr>
          <w:rFonts w:ascii="Times New Roman" w:hAnsi="Times New Roman" w:cs="Times New Roman"/>
          <w:sz w:val="22"/>
          <w:szCs w:val="22"/>
          <w:lang w:eastAsia="zh-CN"/>
        </w:rPr>
      </w:pPr>
    </w:p>
    <w:p w14:paraId="69F64408" w14:textId="77777777" w:rsidR="00FA5AAD" w:rsidRPr="00B0359A" w:rsidRDefault="00FA5AAD" w:rsidP="00B0359A">
      <w:pPr>
        <w:pStyle w:val="ListParagraph"/>
        <w:spacing w:before="120" w:after="120" w:line="259" w:lineRule="auto"/>
        <w:ind w:left="0"/>
        <w:jc w:val="both"/>
        <w:rPr>
          <w:rFonts w:ascii="Times New Roman" w:hAnsi="Times New Roman" w:cs="Times New Roman"/>
          <w:sz w:val="22"/>
          <w:szCs w:val="22"/>
          <w:lang w:eastAsia="zh-CN"/>
        </w:rPr>
      </w:pPr>
      <w:r w:rsidRPr="00B0359A">
        <w:rPr>
          <w:rFonts w:ascii="Times New Roman" w:hAnsi="Times New Roman" w:cs="Times New Roman"/>
          <w:sz w:val="22"/>
          <w:szCs w:val="22"/>
          <w:lang w:eastAsia="zh-CN"/>
        </w:rPr>
        <w:t>First of all, we extract national disease-specific treatment cost for other countries available.</w:t>
      </w:r>
    </w:p>
    <w:p w14:paraId="279CE8D5" w14:textId="03F34AC7" w:rsidR="00FA5AAD" w:rsidRPr="00B0359A" w:rsidRDefault="00FA5AAD" w:rsidP="00FA5AAD">
      <w:pPr>
        <w:pStyle w:val="ListParagraph"/>
        <w:numPr>
          <w:ilvl w:val="0"/>
          <w:numId w:val="8"/>
        </w:numPr>
        <w:spacing w:before="120" w:after="120" w:line="259" w:lineRule="auto"/>
        <w:ind w:left="720" w:hanging="360"/>
        <w:jc w:val="both"/>
        <w:rPr>
          <w:rFonts w:ascii="Times New Roman" w:hAnsi="Times New Roman" w:cs="Times New Roman"/>
          <w:sz w:val="22"/>
          <w:szCs w:val="22"/>
          <w:lang w:eastAsia="zh-CN"/>
        </w:rPr>
      </w:pPr>
      <w:r w:rsidRPr="00B0359A">
        <w:rPr>
          <w:rFonts w:ascii="Times New Roman" w:hAnsi="Times New Roman" w:cs="Times New Roman"/>
          <w:sz w:val="22"/>
          <w:szCs w:val="22"/>
          <w:lang w:eastAsia="zh-CN"/>
        </w:rPr>
        <w:t xml:space="preserve">For cancer, we get the treatment cost data for 27 European Union countries from </w:t>
      </w:r>
      <w:r w:rsidRPr="00B0359A">
        <w:rPr>
          <w:rFonts w:ascii="Times New Roman" w:hAnsi="Times New Roman" w:cs="Times New Roman"/>
          <w:sz w:val="22"/>
          <w:szCs w:val="22"/>
          <w:lang w:eastAsia="zh-CN"/>
        </w:rPr>
        <w:fldChar w:fldCharType="begin"/>
      </w:r>
      <w:r w:rsidR="00D61FC8">
        <w:rPr>
          <w:rFonts w:ascii="Times New Roman" w:hAnsi="Times New Roman" w:cs="Times New Roman"/>
          <w:sz w:val="22"/>
          <w:szCs w:val="22"/>
          <w:lang w:eastAsia="zh-CN"/>
        </w:rPr>
        <w:instrText xml:space="preserve"> ADDIN EN.CITE &lt;EndNote&gt;&lt;Cite&gt;&lt;Author&gt;Luengo-Fernandez&lt;/Author&gt;&lt;Year&gt;2013&lt;/Year&gt;&lt;RecNum&gt;967&lt;/RecNum&gt;&lt;DisplayText&gt;[8]&lt;/DisplayText&gt;&lt;record&gt;&lt;rec-number&gt;967&lt;/rec-number&gt;&lt;foreign-keys&gt;&lt;key app="EN" db-id="2209pvwf8w20erevfr0vavppfap0v2zv5rww" timestamp="1548670284"&gt;967&lt;/key&gt;&lt;/foreign-keys&gt;&lt;ref-type name="Journal Article"&gt;17&lt;/ref-type&gt;&lt;contributors&gt;&lt;authors&gt;&lt;author&gt;Luengo-Fernandez, Ramon&lt;/author&gt;&lt;author&gt;Leal, Jose&lt;/author&gt;&lt;author&gt;Gray, Alastair&lt;/author&gt;&lt;author&gt;Sullivan, Richard&lt;/author&gt;&lt;/authors&gt;&lt;/contributors&gt;&lt;titles&gt;&lt;title&gt;Economic burden of cancer across the European Union: a population-based cost analysis&lt;/title&gt;&lt;secondary-title&gt;The lancet oncology&lt;/secondary-title&gt;&lt;/titles&gt;&lt;periodical&gt;&lt;full-title&gt;The lancet oncology&lt;/full-title&gt;&lt;/periodical&gt;&lt;pages&gt;1165-1174&lt;/pages&gt;&lt;volume&gt;14&lt;/volume&gt;&lt;number&gt;12&lt;/number&gt;&lt;dates&gt;&lt;year&gt;2013&lt;/year&gt;&lt;/dates&gt;&lt;isbn&gt;1470-2045&lt;/isbn&gt;&lt;urls&gt;&lt;/urls&gt;&lt;/record&gt;&lt;/Cite&gt;&lt;/EndNote&gt;</w:instrText>
      </w:r>
      <w:r w:rsidRPr="00B0359A">
        <w:rPr>
          <w:rFonts w:ascii="Times New Roman" w:hAnsi="Times New Roman" w:cs="Times New Roman"/>
          <w:sz w:val="22"/>
          <w:szCs w:val="22"/>
          <w:lang w:eastAsia="zh-CN"/>
        </w:rPr>
        <w:fldChar w:fldCharType="separate"/>
      </w:r>
      <w:r w:rsidR="00D61FC8">
        <w:rPr>
          <w:rFonts w:ascii="Times New Roman" w:hAnsi="Times New Roman" w:cs="Times New Roman"/>
          <w:noProof/>
          <w:sz w:val="22"/>
          <w:szCs w:val="22"/>
          <w:lang w:eastAsia="zh-CN"/>
        </w:rPr>
        <w:t>[8]</w:t>
      </w:r>
      <w:r w:rsidRPr="00B0359A">
        <w:rPr>
          <w:rFonts w:ascii="Times New Roman" w:hAnsi="Times New Roman" w:cs="Times New Roman"/>
          <w:sz w:val="22"/>
          <w:szCs w:val="22"/>
          <w:lang w:eastAsia="zh-CN"/>
        </w:rPr>
        <w:fldChar w:fldCharType="end"/>
      </w:r>
      <w:r w:rsidRPr="00B0359A">
        <w:rPr>
          <w:rFonts w:ascii="Times New Roman" w:hAnsi="Times New Roman" w:cs="Times New Roman"/>
          <w:sz w:val="22"/>
          <w:szCs w:val="22"/>
          <w:lang w:eastAsia="zh-CN"/>
        </w:rPr>
        <w:t xml:space="preserve">, and United States from </w:t>
      </w:r>
      <w:r w:rsidRPr="00B0359A">
        <w:rPr>
          <w:rFonts w:ascii="Times New Roman" w:hAnsi="Times New Roman" w:cs="Times New Roman"/>
          <w:sz w:val="22"/>
          <w:szCs w:val="22"/>
          <w:lang w:eastAsia="zh-CN"/>
        </w:rPr>
        <w:fldChar w:fldCharType="begin"/>
      </w:r>
      <w:r w:rsidR="00D61FC8">
        <w:rPr>
          <w:rFonts w:ascii="Times New Roman" w:hAnsi="Times New Roman" w:cs="Times New Roman"/>
          <w:sz w:val="22"/>
          <w:szCs w:val="22"/>
          <w:lang w:eastAsia="zh-CN"/>
        </w:rPr>
        <w:instrText xml:space="preserve"> ADDIN EN.CITE &lt;EndNote&gt;&lt;Cite&gt;&lt;Author&gt;Dieleman&lt;/Author&gt;&lt;Year&gt;2016&lt;/Year&gt;&lt;RecNum&gt;582&lt;/RecNum&gt;&lt;DisplayText&gt;[9]&lt;/DisplayText&gt;&lt;record&gt;&lt;rec-number&gt;582&lt;/rec-number&gt;&lt;foreign-keys&gt;&lt;key app="EN" db-id="2209pvwf8w20erevfr0vavppfap0v2zv5rww" timestamp="1524618985"&gt;582&lt;/key&gt;&lt;/foreign-keys&gt;&lt;ref-type name="Journal Article"&gt;17&lt;/ref-type&gt;&lt;contributors&gt;&lt;authors&gt;&lt;author&gt;Dieleman, Joseph L&lt;/author&gt;&lt;author&gt;Baral, Ranju&lt;/author&gt;&lt;author&gt;Birger, Maxwell&lt;/author&gt;&lt;author&gt;Bui, Anthony L&lt;/author&gt;&lt;author&gt;Bulchis, Anne&lt;/author&gt;&lt;author&gt;Chapin, Abigail&lt;/author&gt;&lt;author&gt;Hamavid, Hannah&lt;/author&gt;&lt;author&gt;Horst, Cody&lt;/author&gt;&lt;author&gt;Johnson, Elizabeth K&lt;/author&gt;&lt;author&gt;Joseph, Jonathan&lt;/author&gt;&lt;/authors&gt;&lt;/contributors&gt;&lt;titles&gt;&lt;title&gt;US spending on personal health care and public health, 1996–2013&lt;/title&gt;&lt;secondary-title&gt;Jama&lt;/secondary-title&gt;&lt;/titles&gt;&lt;periodical&gt;&lt;full-title&gt;JAMA&lt;/full-title&gt;&lt;abbr-1&gt;JAMA&lt;/abbr-1&gt;&lt;abbr-2&gt;JAMA&lt;/abbr-2&gt;&lt;/periodical&gt;&lt;pages&gt;2627–2646&lt;/pages&gt;&lt;volume&gt;316&lt;/volume&gt;&lt;number&gt;24&lt;/number&gt;&lt;dates&gt;&lt;year&gt;2016&lt;/year&gt;&lt;/dates&gt;&lt;isbn&gt;0098-7484&lt;/isbn&gt;&lt;urls&gt;&lt;/urls&gt;&lt;/record&gt;&lt;/Cite&gt;&lt;/EndNote&gt;</w:instrText>
      </w:r>
      <w:r w:rsidRPr="00B0359A">
        <w:rPr>
          <w:rFonts w:ascii="Times New Roman" w:hAnsi="Times New Roman" w:cs="Times New Roman"/>
          <w:sz w:val="22"/>
          <w:szCs w:val="22"/>
          <w:lang w:eastAsia="zh-CN"/>
        </w:rPr>
        <w:fldChar w:fldCharType="separate"/>
      </w:r>
      <w:r w:rsidR="00D61FC8">
        <w:rPr>
          <w:rFonts w:ascii="Times New Roman" w:hAnsi="Times New Roman" w:cs="Times New Roman"/>
          <w:noProof/>
          <w:sz w:val="22"/>
          <w:szCs w:val="22"/>
          <w:lang w:eastAsia="zh-CN"/>
        </w:rPr>
        <w:t>[9]</w:t>
      </w:r>
      <w:r w:rsidRPr="00B0359A">
        <w:rPr>
          <w:rFonts w:ascii="Times New Roman" w:hAnsi="Times New Roman" w:cs="Times New Roman"/>
          <w:sz w:val="22"/>
          <w:szCs w:val="22"/>
          <w:lang w:eastAsia="zh-CN"/>
        </w:rPr>
        <w:fldChar w:fldCharType="end"/>
      </w:r>
      <w:r w:rsidRPr="00B0359A">
        <w:rPr>
          <w:rFonts w:ascii="Times New Roman" w:hAnsi="Times New Roman" w:cs="Times New Roman"/>
          <w:sz w:val="22"/>
          <w:szCs w:val="22"/>
          <w:lang w:eastAsia="zh-CN"/>
        </w:rPr>
        <w:t>.</w:t>
      </w:r>
    </w:p>
    <w:p w14:paraId="499D0BDE" w14:textId="68CCB90E" w:rsidR="00FA5AAD" w:rsidRPr="00B0359A" w:rsidRDefault="00FA5AAD" w:rsidP="00FA5AAD">
      <w:pPr>
        <w:pStyle w:val="ListParagraph"/>
        <w:numPr>
          <w:ilvl w:val="0"/>
          <w:numId w:val="8"/>
        </w:numPr>
        <w:ind w:left="720" w:hanging="360"/>
        <w:rPr>
          <w:rFonts w:ascii="Times New Roman" w:hAnsi="Times New Roman" w:cs="Times New Roman"/>
          <w:sz w:val="22"/>
          <w:szCs w:val="22"/>
          <w:lang w:eastAsia="zh-CN"/>
        </w:rPr>
      </w:pPr>
      <w:r w:rsidRPr="00B0359A">
        <w:rPr>
          <w:rFonts w:ascii="Times New Roman" w:hAnsi="Times New Roman" w:cs="Times New Roman"/>
          <w:sz w:val="22"/>
          <w:szCs w:val="22"/>
          <w:lang w:eastAsia="zh-CN"/>
        </w:rPr>
        <w:t xml:space="preserve">For cardiovascular diseases, we get the treatment cost data for 27 European Union countries from </w:t>
      </w:r>
      <w:r w:rsidRPr="00B0359A">
        <w:rPr>
          <w:rFonts w:ascii="Times New Roman" w:hAnsi="Times New Roman" w:cs="Times New Roman"/>
          <w:sz w:val="22"/>
          <w:szCs w:val="22"/>
          <w:lang w:eastAsia="zh-CN"/>
        </w:rPr>
        <w:fldChar w:fldCharType="begin"/>
      </w:r>
      <w:r w:rsidR="00D61FC8">
        <w:rPr>
          <w:rFonts w:ascii="Times New Roman" w:hAnsi="Times New Roman" w:cs="Times New Roman"/>
          <w:sz w:val="22"/>
          <w:szCs w:val="22"/>
          <w:lang w:eastAsia="zh-CN"/>
        </w:rPr>
        <w:instrText xml:space="preserve"> ADDIN EN.CITE &lt;EndNote&gt;&lt;Cite&gt;&lt;Author&gt;Wilkins&lt;/Author&gt;&lt;Year&gt;2017&lt;/Year&gt;&lt;RecNum&gt;968&lt;/RecNum&gt;&lt;DisplayText&gt;[10]&lt;/DisplayText&gt;&lt;record&gt;&lt;rec-number&gt;968&lt;/rec-number&gt;&lt;foreign-keys&gt;&lt;key app="EN" db-id="2209pvwf8w20erevfr0vavppfap0v2zv5rww" timestamp="1548670520"&gt;968&lt;/key&gt;&lt;/foreign-keys&gt;&lt;ref-type name="Journal Article"&gt;17&lt;/ref-type&gt;&lt;contributors&gt;&lt;authors&gt;&lt;author&gt;Wilkins, Elizabeth&lt;/author&gt;&lt;author&gt;Wilson, L&lt;/author&gt;&lt;author&gt;Wickramasinghe, Kremlin&lt;/author&gt;&lt;author&gt;Bhatnagar, Prachi&lt;/author&gt;&lt;author&gt;Leal, Jose&lt;/author&gt;&lt;author&gt;Luengo-Fernandez, Ramon&lt;/author&gt;&lt;author&gt;Burns, R&lt;/author&gt;&lt;author&gt;Rayner, Mike&lt;/author&gt;&lt;author&gt;Townsend, Nick&lt;/author&gt;&lt;/authors&gt;&lt;/contributors&gt;&lt;titles&gt;&lt;title&gt;European cardiovascular disease statistics 2017&lt;/title&gt;&lt;/titles&gt;&lt;dates&gt;&lt;year&gt;2017&lt;/year&gt;&lt;/dates&gt;&lt;urls&gt;&lt;/urls&gt;&lt;/record&gt;&lt;/Cite&gt;&lt;/EndNote&gt;</w:instrText>
      </w:r>
      <w:r w:rsidRPr="00B0359A">
        <w:rPr>
          <w:rFonts w:ascii="Times New Roman" w:hAnsi="Times New Roman" w:cs="Times New Roman"/>
          <w:sz w:val="22"/>
          <w:szCs w:val="22"/>
          <w:lang w:eastAsia="zh-CN"/>
        </w:rPr>
        <w:fldChar w:fldCharType="separate"/>
      </w:r>
      <w:r w:rsidR="00D61FC8">
        <w:rPr>
          <w:rFonts w:ascii="Times New Roman" w:hAnsi="Times New Roman" w:cs="Times New Roman"/>
          <w:noProof/>
          <w:sz w:val="22"/>
          <w:szCs w:val="22"/>
          <w:lang w:eastAsia="zh-CN"/>
        </w:rPr>
        <w:t>[10]</w:t>
      </w:r>
      <w:r w:rsidRPr="00B0359A">
        <w:rPr>
          <w:rFonts w:ascii="Times New Roman" w:hAnsi="Times New Roman" w:cs="Times New Roman"/>
          <w:sz w:val="22"/>
          <w:szCs w:val="22"/>
          <w:lang w:eastAsia="zh-CN"/>
        </w:rPr>
        <w:fldChar w:fldCharType="end"/>
      </w:r>
      <w:r w:rsidRPr="00B0359A">
        <w:rPr>
          <w:rFonts w:ascii="Times New Roman" w:hAnsi="Times New Roman" w:cs="Times New Roman"/>
          <w:sz w:val="22"/>
          <w:szCs w:val="22"/>
          <w:lang w:eastAsia="zh-CN"/>
        </w:rPr>
        <w:t xml:space="preserve">, and United States from </w:t>
      </w:r>
      <w:r w:rsidRPr="00B0359A">
        <w:rPr>
          <w:rFonts w:ascii="Times New Roman" w:hAnsi="Times New Roman" w:cs="Times New Roman"/>
          <w:sz w:val="22"/>
          <w:szCs w:val="22"/>
          <w:lang w:eastAsia="zh-CN"/>
        </w:rPr>
        <w:fldChar w:fldCharType="begin"/>
      </w:r>
      <w:r w:rsidR="00D61FC8">
        <w:rPr>
          <w:rFonts w:ascii="Times New Roman" w:hAnsi="Times New Roman" w:cs="Times New Roman"/>
          <w:sz w:val="22"/>
          <w:szCs w:val="22"/>
          <w:lang w:eastAsia="zh-CN"/>
        </w:rPr>
        <w:instrText xml:space="preserve"> ADDIN EN.CITE &lt;EndNote&gt;&lt;Cite&gt;&lt;Author&gt;Dieleman&lt;/Author&gt;&lt;Year&gt;2016&lt;/Year&gt;&lt;RecNum&gt;582&lt;/RecNum&gt;&lt;DisplayText&gt;[9]&lt;/DisplayText&gt;&lt;record&gt;&lt;rec-number&gt;582&lt;/rec-number&gt;&lt;foreign-keys&gt;&lt;key app="EN" db-id="2209pvwf8w20erevfr0vavppfap0v2zv5rww" timestamp="1524618985"&gt;582&lt;/key&gt;&lt;/foreign-keys&gt;&lt;ref-type name="Journal Article"&gt;17&lt;/ref-type&gt;&lt;contributors&gt;&lt;authors&gt;&lt;author&gt;Dieleman, Joseph L&lt;/author&gt;&lt;author&gt;Baral, Ranju&lt;/author&gt;&lt;author&gt;Birger, Maxwell&lt;/author&gt;&lt;author&gt;Bui, Anthony L&lt;/author&gt;&lt;author&gt;Bulchis, Anne&lt;/author&gt;&lt;author&gt;Chapin, Abigail&lt;/author&gt;&lt;author&gt;Hamavid, Hannah&lt;/author&gt;&lt;author&gt;Horst, Cody&lt;/author&gt;&lt;author&gt;Johnson, Elizabeth K&lt;/author&gt;&lt;author&gt;Joseph, Jonathan&lt;/author&gt;&lt;/authors&gt;&lt;/contributors&gt;&lt;titles&gt;&lt;title&gt;US spending on personal health care and public health, 1996–2013&lt;/title&gt;&lt;secondary-title&gt;Jama&lt;/secondary-title&gt;&lt;/titles&gt;&lt;periodical&gt;&lt;full-title&gt;JAMA&lt;/full-title&gt;&lt;abbr-1&gt;JAMA&lt;/abbr-1&gt;&lt;abbr-2&gt;JAMA&lt;/abbr-2&gt;&lt;/periodical&gt;&lt;pages&gt;2627–2646&lt;/pages&gt;&lt;volume&gt;316&lt;/volume&gt;&lt;number&gt;24&lt;/number&gt;&lt;dates&gt;&lt;year&gt;2016&lt;/year&gt;&lt;/dates&gt;&lt;isbn&gt;0098-7484&lt;/isbn&gt;&lt;urls&gt;&lt;/urls&gt;&lt;/record&gt;&lt;/Cite&gt;&lt;/EndNote&gt;</w:instrText>
      </w:r>
      <w:r w:rsidRPr="00B0359A">
        <w:rPr>
          <w:rFonts w:ascii="Times New Roman" w:hAnsi="Times New Roman" w:cs="Times New Roman"/>
          <w:sz w:val="22"/>
          <w:szCs w:val="22"/>
          <w:lang w:eastAsia="zh-CN"/>
        </w:rPr>
        <w:fldChar w:fldCharType="separate"/>
      </w:r>
      <w:r w:rsidR="00D61FC8">
        <w:rPr>
          <w:rFonts w:ascii="Times New Roman" w:hAnsi="Times New Roman" w:cs="Times New Roman"/>
          <w:noProof/>
          <w:sz w:val="22"/>
          <w:szCs w:val="22"/>
          <w:lang w:eastAsia="zh-CN"/>
        </w:rPr>
        <w:t>[9]</w:t>
      </w:r>
      <w:r w:rsidRPr="00B0359A">
        <w:rPr>
          <w:rFonts w:ascii="Times New Roman" w:hAnsi="Times New Roman" w:cs="Times New Roman"/>
          <w:sz w:val="22"/>
          <w:szCs w:val="22"/>
          <w:lang w:eastAsia="zh-CN"/>
        </w:rPr>
        <w:fldChar w:fldCharType="end"/>
      </w:r>
      <w:r w:rsidRPr="00B0359A">
        <w:rPr>
          <w:rFonts w:ascii="Times New Roman" w:hAnsi="Times New Roman" w:cs="Times New Roman"/>
          <w:sz w:val="22"/>
          <w:szCs w:val="22"/>
          <w:lang w:eastAsia="zh-CN"/>
        </w:rPr>
        <w:t>.</w:t>
      </w:r>
    </w:p>
    <w:p w14:paraId="28DD3158" w14:textId="191983A6" w:rsidR="00FA5AAD" w:rsidRPr="00B0359A" w:rsidRDefault="00FA5AAD" w:rsidP="00FA5AAD">
      <w:pPr>
        <w:pStyle w:val="ListParagraph"/>
        <w:numPr>
          <w:ilvl w:val="0"/>
          <w:numId w:val="8"/>
        </w:numPr>
        <w:ind w:left="720" w:hanging="360"/>
        <w:rPr>
          <w:rFonts w:ascii="Times New Roman" w:hAnsi="Times New Roman" w:cs="Times New Roman"/>
          <w:sz w:val="22"/>
          <w:szCs w:val="22"/>
          <w:lang w:eastAsia="zh-CN"/>
        </w:rPr>
      </w:pPr>
      <w:r w:rsidRPr="00B0359A">
        <w:rPr>
          <w:rFonts w:ascii="Times New Roman" w:hAnsi="Times New Roman" w:cs="Times New Roman"/>
          <w:sz w:val="22"/>
          <w:szCs w:val="22"/>
          <w:lang w:eastAsia="zh-CN"/>
        </w:rPr>
        <w:t xml:space="preserve">For chronic respiratory disease, we get the treatment cost data for US from </w:t>
      </w:r>
      <w:r w:rsidRPr="00B0359A">
        <w:rPr>
          <w:rFonts w:ascii="Times New Roman" w:hAnsi="Times New Roman" w:cs="Times New Roman"/>
          <w:sz w:val="22"/>
          <w:szCs w:val="22"/>
          <w:lang w:eastAsia="zh-CN"/>
        </w:rPr>
        <w:fldChar w:fldCharType="begin"/>
      </w:r>
      <w:r w:rsidR="00D61FC8">
        <w:rPr>
          <w:rFonts w:ascii="Times New Roman" w:hAnsi="Times New Roman" w:cs="Times New Roman"/>
          <w:sz w:val="22"/>
          <w:szCs w:val="22"/>
          <w:lang w:eastAsia="zh-CN"/>
        </w:rPr>
        <w:instrText xml:space="preserve"> ADDIN EN.CITE &lt;EndNote&gt;&lt;Cite&gt;&lt;Author&gt;Dieleman&lt;/Author&gt;&lt;Year&gt;2016&lt;/Year&gt;&lt;RecNum&gt;582&lt;/RecNum&gt;&lt;DisplayText&gt;[9]&lt;/DisplayText&gt;&lt;record&gt;&lt;rec-number&gt;582&lt;/rec-number&gt;&lt;foreign-keys&gt;&lt;key app="EN" db-id="2209pvwf8w20erevfr0vavppfap0v2zv5rww" timestamp="1524618985"&gt;582&lt;/key&gt;&lt;/foreign-keys&gt;&lt;ref-type name="Journal Article"&gt;17&lt;/ref-type&gt;&lt;contributors&gt;&lt;authors&gt;&lt;author&gt;Dieleman, Joseph L&lt;/author&gt;&lt;author&gt;Baral, Ranju&lt;/author&gt;&lt;author&gt;Birger, Maxwell&lt;/author&gt;&lt;author&gt;Bui, Anthony L&lt;/author&gt;&lt;author&gt;Bulchis, Anne&lt;/author&gt;&lt;author&gt;Chapin, Abigail&lt;/author&gt;&lt;author&gt;Hamavid, Hannah&lt;/author&gt;&lt;author&gt;Horst, Cody&lt;/author&gt;&lt;author&gt;Johnson, Elizabeth K&lt;/author&gt;&lt;author&gt;Joseph, Jonathan&lt;/author&gt;&lt;/authors&gt;&lt;/contributors&gt;&lt;titles&gt;&lt;title&gt;US spending on personal health care and public health, 1996–2013&lt;/title&gt;&lt;secondary-title&gt;Jama&lt;/secondary-title&gt;&lt;/titles&gt;&lt;periodical&gt;&lt;full-title&gt;JAMA&lt;/full-title&gt;&lt;abbr-1&gt;JAMA&lt;/abbr-1&gt;&lt;abbr-2&gt;JAMA&lt;/abbr-2&gt;&lt;/periodical&gt;&lt;pages&gt;2627–2646&lt;/pages&gt;&lt;volume&gt;316&lt;/volume&gt;&lt;number&gt;24&lt;/number&gt;&lt;dates&gt;&lt;year&gt;2016&lt;/year&gt;&lt;/dates&gt;&lt;isbn&gt;0098-7484&lt;/isbn&gt;&lt;urls&gt;&lt;/urls&gt;&lt;/record&gt;&lt;/Cite&gt;&lt;/EndNote&gt;</w:instrText>
      </w:r>
      <w:r w:rsidRPr="00B0359A">
        <w:rPr>
          <w:rFonts w:ascii="Times New Roman" w:hAnsi="Times New Roman" w:cs="Times New Roman"/>
          <w:sz w:val="22"/>
          <w:szCs w:val="22"/>
          <w:lang w:eastAsia="zh-CN"/>
        </w:rPr>
        <w:fldChar w:fldCharType="separate"/>
      </w:r>
      <w:r w:rsidR="00D61FC8">
        <w:rPr>
          <w:rFonts w:ascii="Times New Roman" w:hAnsi="Times New Roman" w:cs="Times New Roman"/>
          <w:noProof/>
          <w:sz w:val="22"/>
          <w:szCs w:val="22"/>
          <w:lang w:eastAsia="zh-CN"/>
        </w:rPr>
        <w:t>[9]</w:t>
      </w:r>
      <w:r w:rsidRPr="00B0359A">
        <w:rPr>
          <w:rFonts w:ascii="Times New Roman" w:hAnsi="Times New Roman" w:cs="Times New Roman"/>
          <w:sz w:val="22"/>
          <w:szCs w:val="22"/>
          <w:lang w:eastAsia="zh-CN"/>
        </w:rPr>
        <w:fldChar w:fldCharType="end"/>
      </w:r>
      <w:r w:rsidRPr="00B0359A">
        <w:rPr>
          <w:rFonts w:ascii="Times New Roman" w:hAnsi="Times New Roman" w:cs="Times New Roman"/>
          <w:sz w:val="22"/>
          <w:szCs w:val="22"/>
          <w:lang w:eastAsia="zh-CN"/>
        </w:rPr>
        <w:t>.</w:t>
      </w:r>
    </w:p>
    <w:p w14:paraId="48BAD3CF" w14:textId="77777777" w:rsidR="00FA5AAD" w:rsidRPr="00B0359A" w:rsidRDefault="00FA5AAD" w:rsidP="00FA5AAD">
      <w:pPr>
        <w:ind w:left="360"/>
        <w:rPr>
          <w:sz w:val="22"/>
          <w:szCs w:val="22"/>
        </w:rPr>
      </w:pPr>
    </w:p>
    <w:p w14:paraId="1A6063DA" w14:textId="2C8330A8" w:rsidR="00FA5AAD" w:rsidRDefault="00FA5AAD" w:rsidP="00FA5AAD">
      <w:pPr>
        <w:rPr>
          <w:sz w:val="22"/>
          <w:szCs w:val="22"/>
        </w:rPr>
      </w:pPr>
      <w:r w:rsidRPr="00B0359A">
        <w:rPr>
          <w:sz w:val="22"/>
          <w:szCs w:val="22"/>
        </w:rPr>
        <w:t>Second, for each disease category, we then calculate the per case costs for the countries with data and extrapolated costs for China under the assumption that the per case costs are proportional to the per capita health expenditure (from World Bank</w:t>
      </w:r>
      <w:r w:rsidR="00F43B9E">
        <w:rPr>
          <w:rFonts w:hint="eastAsia"/>
          <w:sz w:val="22"/>
          <w:szCs w:val="22"/>
        </w:rPr>
        <w:t xml:space="preserve"> </w:t>
      </w:r>
      <w:r w:rsidR="00F43B9E">
        <w:rPr>
          <w:sz w:val="22"/>
          <w:szCs w:val="22"/>
        </w:rPr>
        <w:fldChar w:fldCharType="begin"/>
      </w:r>
      <w:r w:rsidR="00F43B9E">
        <w:rPr>
          <w:sz w:val="22"/>
          <w:szCs w:val="22"/>
        </w:rPr>
        <w:instrText xml:space="preserve"> ADDIN EN.CITE &lt;EndNote&gt;&lt;Cite&gt;&lt;Author&gt;World Bank&lt;/Author&gt;&lt;Year&gt;2017&lt;/Year&gt;&lt;RecNum&gt;584&lt;/RecNum&gt;&lt;DisplayText&gt;[11]&lt;/DisplayText&gt;&lt;record&gt;&lt;rec-number&gt;584&lt;/rec-number&gt;&lt;foreign-keys&gt;&lt;key app="EN" db-id="2209pvwf8w20erevfr0vavppfap0v2zv5rww" timestamp="1524619600"&gt;584&lt;/key&gt;&lt;/foreign-keys&gt;&lt;ref-type name="Web Page"&gt;12&lt;/ref-type&gt;&lt;contributors&gt;&lt;authors&gt;&lt;author&gt;World Bank,&lt;/author&gt;&lt;/authors&gt;&lt;/contributors&gt;&lt;titles&gt;&lt;title&gt;World Bank database, current health expenditure (% of GDP)&lt;/title&gt;&lt;/titles&gt;&lt;volume&gt;2018&lt;/volume&gt;&lt;number&gt;April 20&lt;/number&gt;&lt;dates&gt;&lt;year&gt;2017&lt;/year&gt;&lt;/dates&gt;&lt;pub-location&gt;Washington, DC&lt;/pub-location&gt;&lt;publisher&gt;World Bank&lt;/publisher&gt;&lt;urls&gt;&lt;related-urls&gt;&lt;url&gt;https://data.worldbank.org/indicator/SH.XPD.CHEX.GD.ZS&lt;/url&gt;&lt;/related-urls&gt;&lt;/urls&gt;&lt;/record&gt;&lt;/Cite&gt;&lt;/EndNote&gt;</w:instrText>
      </w:r>
      <w:r w:rsidR="00F43B9E">
        <w:rPr>
          <w:sz w:val="22"/>
          <w:szCs w:val="22"/>
        </w:rPr>
        <w:fldChar w:fldCharType="separate"/>
      </w:r>
      <w:r w:rsidR="00F43B9E">
        <w:rPr>
          <w:noProof/>
          <w:sz w:val="22"/>
          <w:szCs w:val="22"/>
        </w:rPr>
        <w:t>[11]</w:t>
      </w:r>
      <w:r w:rsidR="00F43B9E">
        <w:rPr>
          <w:sz w:val="22"/>
          <w:szCs w:val="22"/>
        </w:rPr>
        <w:fldChar w:fldCharType="end"/>
      </w:r>
      <w:r w:rsidRPr="00B0359A">
        <w:rPr>
          <w:sz w:val="22"/>
          <w:szCs w:val="22"/>
        </w:rPr>
        <w:t xml:space="preserve">). This technique has been proposed and used in </w:t>
      </w:r>
      <w:r w:rsidRPr="00B0359A">
        <w:rPr>
          <w:sz w:val="22"/>
          <w:szCs w:val="22"/>
        </w:rPr>
        <w:fldChar w:fldCharType="begin"/>
      </w:r>
      <w:r w:rsidR="00F43B9E">
        <w:rPr>
          <w:sz w:val="22"/>
          <w:szCs w:val="22"/>
        </w:rPr>
        <w:instrText xml:space="preserve"> ADDIN EN.CITE &lt;EndNote&gt;&lt;Cite&gt;&lt;Author&gt;Bloom&lt;/Author&gt;&lt;Year&gt;2011&lt;/Year&gt;&lt;RecNum&gt;298&lt;/RecNum&gt;&lt;DisplayText&gt;[12]&lt;/DisplayText&gt;&lt;record&gt;&lt;rec-number&gt;298&lt;/rec-number&gt;&lt;foreign-keys&gt;&lt;key app="EN" db-id="2209pvwf8w20erevfr0vavppfap0v2zv5rww" timestamp="1513049302"&gt;298&lt;/key&gt;&lt;/foreign-keys&gt;&lt;ref-type name="Report"&gt;27&lt;/ref-type&gt;&lt;contributors&gt;&lt;authors&gt;&lt;author&gt;Bloom, David E.&lt;/author&gt;&lt;author&gt;Cafiero, Elizabeth&lt;/author&gt;&lt;author&gt;Jané-Llopis, Eva&lt;/author&gt;&lt;author&gt;Abrahams-Gessel, Shafika&lt;/author&gt;&lt;author&gt;Bloom, Lakshmi&lt;/author&gt;&lt;author&gt;Fathima, Sana&lt;/author&gt;&lt;author&gt;Feigl, Andrea&lt;/author&gt;&lt;author&gt;Gaziano, Tom&lt;/author&gt;&lt;author&gt;Hamandi, Ali&lt;/author&gt;&lt;author&gt;Mowafi, Mona&lt;/author&gt;&lt;/authors&gt;&lt;/contributors&gt;&lt;titles&gt;&lt;title&gt;The global economic burden of noncommunicable diseases&lt;/title&gt;&lt;/titles&gt;&lt;dates&gt;&lt;year&gt;2011&lt;/year&gt;&lt;/dates&gt;&lt;pub-location&gt;Geneva, Switzerland&lt;/pub-location&gt;&lt;publisher&gt;World Economic Forum&lt;/publisher&gt;&lt;urls&gt;&lt;/urls&gt;&lt;/record&gt;&lt;/Cite&gt;&lt;/EndNote&gt;</w:instrText>
      </w:r>
      <w:r w:rsidRPr="00B0359A">
        <w:rPr>
          <w:sz w:val="22"/>
          <w:szCs w:val="22"/>
        </w:rPr>
        <w:fldChar w:fldCharType="separate"/>
      </w:r>
      <w:r w:rsidR="00F43B9E">
        <w:rPr>
          <w:noProof/>
          <w:sz w:val="22"/>
          <w:szCs w:val="22"/>
        </w:rPr>
        <w:t>[12]</w:t>
      </w:r>
      <w:r w:rsidRPr="00B0359A">
        <w:rPr>
          <w:sz w:val="22"/>
          <w:szCs w:val="22"/>
        </w:rPr>
        <w:fldChar w:fldCharType="end"/>
      </w:r>
      <w:r w:rsidRPr="00B0359A">
        <w:rPr>
          <w:sz w:val="22"/>
          <w:szCs w:val="22"/>
        </w:rPr>
        <w:t xml:space="preserve"> and </w:t>
      </w:r>
      <w:r w:rsidRPr="00B0359A">
        <w:rPr>
          <w:sz w:val="22"/>
          <w:szCs w:val="22"/>
        </w:rPr>
        <w:fldChar w:fldCharType="begin"/>
      </w:r>
      <w:r w:rsidR="00F43B9E">
        <w:rPr>
          <w:sz w:val="22"/>
          <w:szCs w:val="22"/>
        </w:rPr>
        <w:instrText xml:space="preserve"> ADDIN EN.CITE &lt;EndNote&gt;&lt;Cite&gt;&lt;Author&gt;Ding&lt;/Author&gt;&lt;Year&gt;2016&lt;/Year&gt;&lt;RecNum&gt;290&lt;/RecNum&gt;&lt;DisplayText&gt;[13]&lt;/DisplayText&gt;&lt;record&gt;&lt;rec-number&gt;290&lt;/rec-number&gt;&lt;foreign-keys&gt;&lt;key app="EN" db-id="2209pvwf8w20erevfr0vavppfap0v2zv5rww" timestamp="1513041258"&gt;290&lt;/key&gt;&lt;/foreign-keys&gt;&lt;ref-type name="Journal Article"&gt;17&lt;/ref-type&gt;&lt;contributors&gt;&lt;authors&gt;&lt;author&gt;Ding, Ding&lt;/author&gt;&lt;author&gt;Lawson, Kenny D&lt;/author&gt;&lt;author&gt;Kolbe-Alexander, Tracy L&lt;/author&gt;&lt;author&gt;Finkelstein, Eric A&lt;/author&gt;&lt;author&gt;Katzmarzyk, Peter T&lt;/author&gt;&lt;author&gt;van Mechelen, Willem&lt;/author&gt;&lt;author&gt;Pratt, Michael&lt;/author&gt;&lt;author&gt;Lancet Physical Activity Series 2 Executive Committee&lt;/author&gt;&lt;/authors&gt;&lt;/contributors&gt;&lt;titles&gt;&lt;title&gt;The economic burden of physical inactivity: a global analysis of major non-communicable diseases&lt;/title&gt;&lt;secondary-title&gt;The Lancet&lt;/secondary-title&gt;&lt;/titles&gt;&lt;periodical&gt;&lt;full-title&gt;The Lancet&lt;/full-title&gt;&lt;/periodical&gt;&lt;pages&gt;1311-1324&lt;/pages&gt;&lt;volume&gt;388&lt;/volume&gt;&lt;number&gt;10051&lt;/number&gt;&lt;dates&gt;&lt;year&gt;2016&lt;/year&gt;&lt;/dates&gt;&lt;isbn&gt;0140-6736&lt;/isbn&gt;&lt;urls&gt;&lt;/urls&gt;&lt;/record&gt;&lt;/Cite&gt;&lt;/EndNote&gt;</w:instrText>
      </w:r>
      <w:r w:rsidRPr="00B0359A">
        <w:rPr>
          <w:sz w:val="22"/>
          <w:szCs w:val="22"/>
        </w:rPr>
        <w:fldChar w:fldCharType="separate"/>
      </w:r>
      <w:r w:rsidR="00F43B9E">
        <w:rPr>
          <w:noProof/>
          <w:sz w:val="22"/>
          <w:szCs w:val="22"/>
        </w:rPr>
        <w:t>[13]</w:t>
      </w:r>
      <w:r w:rsidRPr="00B0359A">
        <w:rPr>
          <w:sz w:val="22"/>
          <w:szCs w:val="22"/>
        </w:rPr>
        <w:fldChar w:fldCharType="end"/>
      </w:r>
      <w:r w:rsidRPr="00B0359A">
        <w:rPr>
          <w:sz w:val="22"/>
          <w:szCs w:val="22"/>
        </w:rPr>
        <w:t>.</w:t>
      </w:r>
    </w:p>
    <w:p w14:paraId="2668366E" w14:textId="77777777" w:rsidR="00FA5AAD" w:rsidRDefault="00FA5AAD" w:rsidP="00B0359A">
      <w:pPr>
        <w:ind w:left="360"/>
        <w:rPr>
          <w:sz w:val="22"/>
          <w:szCs w:val="22"/>
        </w:rPr>
      </w:pPr>
    </w:p>
    <w:p w14:paraId="604051CD" w14:textId="7E96F98B" w:rsidR="006232DE" w:rsidRDefault="00FA5AAD" w:rsidP="00FA5AAD">
      <w:pPr>
        <w:rPr>
          <w:sz w:val="22"/>
          <w:szCs w:val="22"/>
        </w:rPr>
      </w:pPr>
      <w:r w:rsidRPr="00B0359A">
        <w:rPr>
          <w:sz w:val="22"/>
          <w:szCs w:val="22"/>
        </w:rPr>
        <w:t>Now we have the disease-specific treatment cost per capita (transformed from per case costs with prevalence data from GBD). We then approximate the treatment cost associated with pollution by assuming that the cost is proportiona</w:t>
      </w:r>
      <w:r w:rsidR="00B21B08" w:rsidRPr="00B21B08">
        <w:rPr>
          <w:sz w:val="22"/>
          <w:szCs w:val="22"/>
        </w:rPr>
        <w:t>l to DALYs (the data for DALY are</w:t>
      </w:r>
      <w:r w:rsidRPr="00B0359A">
        <w:rPr>
          <w:sz w:val="22"/>
          <w:szCs w:val="22"/>
        </w:rPr>
        <w:t xml:space="preserve"> from GBD 2017 </w:t>
      </w:r>
      <w:r w:rsidRPr="00B0359A">
        <w:rPr>
          <w:sz w:val="22"/>
          <w:szCs w:val="22"/>
        </w:rPr>
        <w:fldChar w:fldCharType="begin"/>
      </w:r>
      <w:r w:rsidR="00D61FC8">
        <w:rPr>
          <w:sz w:val="22"/>
          <w:szCs w:val="22"/>
        </w:rPr>
        <w:instrText xml:space="preserve"> ADDIN EN.CITE &lt;EndNote&gt;&lt;Cite&gt;&lt;Author&gt;James&lt;/Author&gt;&lt;Year&gt;2018&lt;/Year&gt;&lt;RecNum&gt;965&lt;/RecNum&gt;&lt;DisplayText&gt;[6]&lt;/DisplayText&gt;&lt;record&gt;&lt;rec-number&gt;965&lt;/rec-number&gt;&lt;foreign-keys&gt;&lt;key app="EN" db-id="2209pvwf8w20erevfr0vavppfap0v2zv5rww" timestamp="1548669748"&gt;965&lt;/key&gt;&lt;/foreign-keys&gt;&lt;ref-type name="Journal Article"&gt;17&lt;/ref-type&gt;&lt;contributors&gt;&lt;authors&gt;&lt;author&gt;James, Spencer L&lt;/author&gt;&lt;author&gt;Abate, Degu&lt;/author&gt;&lt;author&gt;Abate, Kalkidan Hassen&lt;/author&gt;&lt;author&gt;Abay, Solomon M&lt;/author&gt;&lt;author&gt;Abbafati, Cristiana&lt;/author&gt;&lt;author&gt;Abbasi, Nooshin&lt;/author&gt;&lt;author&gt;Abbastabar, Hedayat&lt;/author&gt;&lt;author&gt;Abd-Allah, Foad&lt;/author&gt;&lt;author&gt;Abdela, Jemal&lt;/author&gt;&lt;author&gt;Abdelalim, Ahmed&lt;/author&gt;&lt;/authors&gt;&lt;/contributors&gt;&lt;titles&gt;&lt;title&gt;Global, regional, and national incidence, prevalence, and years lived with disability for 354 diseases and injuries for 195 countries and territories, 1990–2017: a systematic analysis for the Global Burden of Disease Study 2017&lt;/title&gt;&lt;secondary-title&gt;The Lancet&lt;/secondary-title&gt;&lt;/titles&gt;&lt;periodical&gt;&lt;full-title&gt;The Lancet&lt;/full-title&gt;&lt;/periodical&gt;&lt;pages&gt;1789-1858&lt;/pages&gt;&lt;volume&gt;392&lt;/volume&gt;&lt;number&gt;10159&lt;/number&gt;&lt;dates&gt;&lt;year&gt;2018&lt;/year&gt;&lt;/dates&gt;&lt;isbn&gt;0140-6736&lt;/isbn&gt;&lt;urls&gt;&lt;/urls&gt;&lt;/record&gt;&lt;/Cite&gt;&lt;/EndNote&gt;</w:instrText>
      </w:r>
      <w:r w:rsidRPr="00B0359A">
        <w:rPr>
          <w:sz w:val="22"/>
          <w:szCs w:val="22"/>
        </w:rPr>
        <w:fldChar w:fldCharType="separate"/>
      </w:r>
      <w:r w:rsidR="00D61FC8">
        <w:rPr>
          <w:noProof/>
          <w:sz w:val="22"/>
          <w:szCs w:val="22"/>
        </w:rPr>
        <w:t>[6]</w:t>
      </w:r>
      <w:r w:rsidRPr="00B0359A">
        <w:rPr>
          <w:sz w:val="22"/>
          <w:szCs w:val="22"/>
        </w:rPr>
        <w:fldChar w:fldCharType="end"/>
      </w:r>
      <w:r w:rsidRPr="00B0359A">
        <w:rPr>
          <w:sz w:val="22"/>
          <w:szCs w:val="22"/>
        </w:rPr>
        <w:t>). For examp</w:t>
      </w:r>
      <w:r w:rsidR="003B0AB9">
        <w:rPr>
          <w:sz w:val="22"/>
          <w:szCs w:val="22"/>
        </w:rPr>
        <w:t xml:space="preserve">le, if air pollution </w:t>
      </w:r>
      <w:r w:rsidR="003B0AB9" w:rsidRPr="003B0AB9">
        <w:rPr>
          <w:sz w:val="22"/>
          <w:szCs w:val="22"/>
        </w:rPr>
        <w:t>accounts for</w:t>
      </w:r>
      <w:r w:rsidR="003C750E" w:rsidRPr="003C750E">
        <w:rPr>
          <w:sz w:val="22"/>
          <w:szCs w:val="22"/>
        </w:rPr>
        <w:t xml:space="preserve"> 7</w:t>
      </w:r>
      <w:r w:rsidRPr="00B0359A">
        <w:rPr>
          <w:sz w:val="22"/>
          <w:szCs w:val="22"/>
        </w:rPr>
        <w:t xml:space="preserve">% of the total DALYs of cancer according to GBD 2017, the respective treatment cost associated with air pollution for cancer will then </w:t>
      </w:r>
      <w:r w:rsidR="003C750E">
        <w:rPr>
          <w:sz w:val="22"/>
          <w:szCs w:val="22"/>
        </w:rPr>
        <w:t>be calculated as 0.07</w:t>
      </w:r>
      <w:r w:rsidRPr="00B0359A">
        <w:rPr>
          <w:sz w:val="22"/>
          <w:szCs w:val="22"/>
        </w:rPr>
        <w:t>*total treatment cost of cancer.</w:t>
      </w:r>
    </w:p>
    <w:p w14:paraId="01F8EF4A" w14:textId="77777777" w:rsidR="006232DE" w:rsidRDefault="006232DE" w:rsidP="00FA5AAD">
      <w:pPr>
        <w:rPr>
          <w:sz w:val="22"/>
          <w:szCs w:val="22"/>
        </w:rPr>
      </w:pPr>
    </w:p>
    <w:p w14:paraId="6106C838" w14:textId="554A914E" w:rsidR="005609BF" w:rsidRDefault="006232DE" w:rsidP="00FA5AAD">
      <w:pPr>
        <w:rPr>
          <w:sz w:val="22"/>
          <w:szCs w:val="22"/>
        </w:rPr>
      </w:pPr>
      <w:r>
        <w:rPr>
          <w:sz w:val="22"/>
          <w:szCs w:val="22"/>
        </w:rPr>
        <w:t>T</w:t>
      </w:r>
      <w:r w:rsidRPr="004B4F4C">
        <w:rPr>
          <w:sz w:val="22"/>
          <w:szCs w:val="22"/>
        </w:rPr>
        <w:t xml:space="preserve">reatment costs used for other years are scaled according to the projection of health expenditure per capita. </w:t>
      </w:r>
    </w:p>
    <w:p w14:paraId="39D03628" w14:textId="77777777" w:rsidR="00FD1126" w:rsidRPr="00D47093" w:rsidRDefault="00FD1126" w:rsidP="00FA5AAD">
      <w:pPr>
        <w:widowControl w:val="0"/>
        <w:autoSpaceDE w:val="0"/>
        <w:autoSpaceDN w:val="0"/>
        <w:adjustRightInd w:val="0"/>
      </w:pPr>
    </w:p>
    <w:p w14:paraId="64F3E46C" w14:textId="0930AF0B" w:rsidR="00085475" w:rsidRPr="005609BF" w:rsidRDefault="00807238" w:rsidP="00E11F60">
      <w:pPr>
        <w:rPr>
          <w:b/>
          <w:sz w:val="22"/>
          <w:szCs w:val="22"/>
        </w:rPr>
      </w:pPr>
      <w:r w:rsidRPr="00152B6B">
        <w:rPr>
          <w:b/>
          <w:sz w:val="22"/>
          <w:szCs w:val="22"/>
        </w:rPr>
        <w:t xml:space="preserve">Table </w:t>
      </w:r>
      <w:r w:rsidR="00445575">
        <w:rPr>
          <w:b/>
          <w:sz w:val="22"/>
          <w:szCs w:val="22"/>
        </w:rPr>
        <w:t>A</w:t>
      </w:r>
      <w:r w:rsidRPr="00152B6B">
        <w:rPr>
          <w:b/>
          <w:sz w:val="22"/>
          <w:szCs w:val="22"/>
        </w:rPr>
        <w:t xml:space="preserve">. </w:t>
      </w:r>
      <w:r w:rsidR="00085475" w:rsidRPr="005609BF">
        <w:rPr>
          <w:b/>
          <w:sz w:val="22"/>
          <w:szCs w:val="22"/>
        </w:rPr>
        <w:t>Estimates of treatment cost of NCDs associated with air pollution in China (in 2010 USD)</w:t>
      </w:r>
    </w:p>
    <w:tbl>
      <w:tblPr>
        <w:tblStyle w:val="PlainTable21"/>
        <w:tblW w:w="5000" w:type="pct"/>
        <w:tblLook w:val="0620" w:firstRow="1" w:lastRow="0" w:firstColumn="0" w:lastColumn="0" w:noHBand="1" w:noVBand="1"/>
      </w:tblPr>
      <w:tblGrid>
        <w:gridCol w:w="4920"/>
        <w:gridCol w:w="4656"/>
      </w:tblGrid>
      <w:tr w:rsidR="00085475" w:rsidRPr="00152B6B" w14:paraId="4DEA94BE" w14:textId="77777777" w:rsidTr="00356613">
        <w:trPr>
          <w:cnfStyle w:val="100000000000" w:firstRow="1" w:lastRow="0" w:firstColumn="0" w:lastColumn="0" w:oddVBand="0" w:evenVBand="0" w:oddHBand="0" w:evenHBand="0" w:firstRowFirstColumn="0" w:firstRowLastColumn="0" w:lastRowFirstColumn="0" w:lastRowLastColumn="0"/>
        </w:trPr>
        <w:tc>
          <w:tcPr>
            <w:tcW w:w="2569" w:type="pct"/>
            <w:vAlign w:val="center"/>
          </w:tcPr>
          <w:p w14:paraId="556DE128" w14:textId="77777777" w:rsidR="00085475" w:rsidRPr="00152B6B" w:rsidRDefault="00085475" w:rsidP="00E11F60">
            <w:pPr>
              <w:rPr>
                <w:b w:val="0"/>
              </w:rPr>
            </w:pPr>
            <w:r w:rsidRPr="00152B6B">
              <w:rPr>
                <w:rFonts w:hint="eastAsia"/>
                <w:b w:val="0"/>
              </w:rPr>
              <w:t>Disease</w:t>
            </w:r>
          </w:p>
        </w:tc>
        <w:tc>
          <w:tcPr>
            <w:tcW w:w="2431" w:type="pct"/>
            <w:vAlign w:val="center"/>
          </w:tcPr>
          <w:p w14:paraId="73639225" w14:textId="0AF56916" w:rsidR="00085475" w:rsidRPr="00152B6B" w:rsidRDefault="00085475" w:rsidP="00E11F60">
            <w:pPr>
              <w:rPr>
                <w:b w:val="0"/>
                <w:vertAlign w:val="superscript"/>
              </w:rPr>
            </w:pPr>
            <w:r w:rsidRPr="00152B6B">
              <w:rPr>
                <w:rFonts w:hint="eastAsia"/>
                <w:b w:val="0"/>
              </w:rPr>
              <w:t>Treatment cost per capita (</w:t>
            </w:r>
            <w:r w:rsidRPr="00152B6B">
              <w:rPr>
                <w:b w:val="0"/>
              </w:rPr>
              <w:t>in 2010 USD</w:t>
            </w:r>
            <w:r w:rsidRPr="00152B6B">
              <w:rPr>
                <w:rFonts w:hint="eastAsia"/>
                <w:b w:val="0"/>
              </w:rPr>
              <w:t>)</w:t>
            </w:r>
          </w:p>
        </w:tc>
      </w:tr>
      <w:tr w:rsidR="00085475" w:rsidRPr="00152B6B" w14:paraId="7A5CB747" w14:textId="77777777" w:rsidTr="00356613">
        <w:tc>
          <w:tcPr>
            <w:tcW w:w="2569" w:type="pct"/>
            <w:vAlign w:val="center"/>
          </w:tcPr>
          <w:p w14:paraId="3B592E3E" w14:textId="77777777" w:rsidR="00085475" w:rsidRPr="00152B6B" w:rsidRDefault="00085475" w:rsidP="00E11F60">
            <w:r w:rsidRPr="00152B6B">
              <w:rPr>
                <w:rFonts w:hint="eastAsia"/>
              </w:rPr>
              <w:t>Cardiovascular disease</w:t>
            </w:r>
          </w:p>
        </w:tc>
        <w:tc>
          <w:tcPr>
            <w:tcW w:w="2431" w:type="pct"/>
            <w:vAlign w:val="center"/>
          </w:tcPr>
          <w:p w14:paraId="674FC59B" w14:textId="28B53754" w:rsidR="00085475" w:rsidRPr="00152B6B" w:rsidRDefault="00FA5AAD" w:rsidP="00E11F60">
            <w:pPr>
              <w:jc w:val="center"/>
            </w:pPr>
            <w:r>
              <w:rPr>
                <w:rFonts w:hint="eastAsia"/>
              </w:rPr>
              <w:t>2.48</w:t>
            </w:r>
          </w:p>
        </w:tc>
      </w:tr>
      <w:tr w:rsidR="00085475" w:rsidRPr="00152B6B" w14:paraId="1F77F66A" w14:textId="77777777" w:rsidTr="00356613">
        <w:tc>
          <w:tcPr>
            <w:tcW w:w="2569" w:type="pct"/>
            <w:vAlign w:val="center"/>
          </w:tcPr>
          <w:p w14:paraId="51F0152E" w14:textId="77777777" w:rsidR="00085475" w:rsidRPr="00152B6B" w:rsidRDefault="00085475" w:rsidP="00E11F60">
            <w:r w:rsidRPr="00152B6B">
              <w:rPr>
                <w:rFonts w:hint="eastAsia"/>
              </w:rPr>
              <w:t>Chronic respiratory disease</w:t>
            </w:r>
          </w:p>
        </w:tc>
        <w:tc>
          <w:tcPr>
            <w:tcW w:w="2431" w:type="pct"/>
            <w:vAlign w:val="center"/>
          </w:tcPr>
          <w:p w14:paraId="02695F41" w14:textId="4B184AC3" w:rsidR="00085475" w:rsidRPr="00152B6B" w:rsidRDefault="00FA5AAD" w:rsidP="00E11F60">
            <w:pPr>
              <w:jc w:val="center"/>
            </w:pPr>
            <w:r>
              <w:rPr>
                <w:rFonts w:hint="eastAsia"/>
              </w:rPr>
              <w:t>4.39</w:t>
            </w:r>
          </w:p>
        </w:tc>
      </w:tr>
      <w:tr w:rsidR="00085475" w:rsidRPr="00152B6B" w14:paraId="56DC26A2" w14:textId="77777777" w:rsidTr="00356613">
        <w:tc>
          <w:tcPr>
            <w:tcW w:w="2569" w:type="pct"/>
            <w:vAlign w:val="center"/>
          </w:tcPr>
          <w:p w14:paraId="58350405" w14:textId="77777777" w:rsidR="00085475" w:rsidRPr="00152B6B" w:rsidRDefault="00085475" w:rsidP="00E11F60">
            <w:r w:rsidRPr="00152B6B">
              <w:rPr>
                <w:rFonts w:hint="eastAsia"/>
              </w:rPr>
              <w:t>Cancer</w:t>
            </w:r>
          </w:p>
        </w:tc>
        <w:tc>
          <w:tcPr>
            <w:tcW w:w="2431" w:type="pct"/>
            <w:vAlign w:val="center"/>
          </w:tcPr>
          <w:p w14:paraId="04E8178D" w14:textId="7DF8EBFC" w:rsidR="00085475" w:rsidRPr="00152B6B" w:rsidRDefault="00FA5AAD" w:rsidP="00E11F60">
            <w:pPr>
              <w:jc w:val="center"/>
            </w:pPr>
            <w:r>
              <w:rPr>
                <w:rFonts w:hint="eastAsia"/>
              </w:rPr>
              <w:t>0.45</w:t>
            </w:r>
          </w:p>
        </w:tc>
      </w:tr>
      <w:tr w:rsidR="00085475" w:rsidRPr="00152B6B" w14:paraId="33351990" w14:textId="77777777" w:rsidTr="00356613">
        <w:tc>
          <w:tcPr>
            <w:tcW w:w="2569" w:type="pct"/>
            <w:vAlign w:val="center"/>
          </w:tcPr>
          <w:p w14:paraId="56C2E759" w14:textId="518217E2" w:rsidR="00085475" w:rsidRPr="00152B6B" w:rsidRDefault="00FA5AAD" w:rsidP="00E11F60">
            <w:r>
              <w:rPr>
                <w:rFonts w:hint="eastAsia"/>
              </w:rPr>
              <w:t>Diabetes</w:t>
            </w:r>
          </w:p>
        </w:tc>
        <w:tc>
          <w:tcPr>
            <w:tcW w:w="2431" w:type="pct"/>
            <w:vAlign w:val="center"/>
          </w:tcPr>
          <w:p w14:paraId="0E321AA6" w14:textId="06DB2454" w:rsidR="00085475" w:rsidRPr="00152B6B" w:rsidRDefault="00FA5AAD" w:rsidP="00E11F60">
            <w:pPr>
              <w:jc w:val="center"/>
            </w:pPr>
            <w:r>
              <w:rPr>
                <w:rFonts w:hint="eastAsia"/>
              </w:rPr>
              <w:t>4.73</w:t>
            </w:r>
          </w:p>
        </w:tc>
      </w:tr>
    </w:tbl>
    <w:p w14:paraId="0BE0439B" w14:textId="77777777" w:rsidR="00D62863" w:rsidRDefault="00D62863" w:rsidP="00E11F60">
      <w:pPr>
        <w:rPr>
          <w:b/>
          <w:sz w:val="22"/>
          <w:szCs w:val="22"/>
        </w:rPr>
      </w:pPr>
    </w:p>
    <w:p w14:paraId="4B710265" w14:textId="7068C678" w:rsidR="005609BF" w:rsidRPr="005609BF" w:rsidRDefault="00445575" w:rsidP="005609BF">
      <w:pPr>
        <w:jc w:val="both"/>
        <w:rPr>
          <w:rFonts w:eastAsia="DengXian"/>
          <w:sz w:val="22"/>
          <w:szCs w:val="22"/>
        </w:rPr>
      </w:pPr>
      <w:r>
        <w:rPr>
          <w:rFonts w:eastAsia="DengXian"/>
          <w:sz w:val="22"/>
          <w:szCs w:val="22"/>
        </w:rPr>
        <w:t>Table B</w:t>
      </w:r>
      <w:r w:rsidR="005609BF">
        <w:rPr>
          <w:rFonts w:eastAsia="DengXian" w:hint="eastAsia"/>
          <w:sz w:val="22"/>
          <w:szCs w:val="22"/>
        </w:rPr>
        <w:t xml:space="preserve"> shows</w:t>
      </w:r>
      <w:r w:rsidR="005609BF" w:rsidRPr="005609BF">
        <w:rPr>
          <w:rFonts w:eastAsia="DengXian"/>
          <w:sz w:val="22"/>
          <w:szCs w:val="22"/>
        </w:rPr>
        <w:t xml:space="preserve"> the parameter values we employ for our numerical analysis.</w:t>
      </w:r>
      <w:r w:rsidR="00FA5AAD" w:rsidRPr="00FA5AAD">
        <w:rPr>
          <w:rFonts w:eastAsia="DengXian"/>
          <w:sz w:val="22"/>
          <w:szCs w:val="22"/>
        </w:rPr>
        <w:t xml:space="preserve"> Note that we take the coefficient (the output elasticity of physical capital) from Penn World Table 2014 </w:t>
      </w:r>
      <w:r w:rsidR="00FA5AAD" w:rsidRPr="00FA5AAD">
        <w:rPr>
          <w:rFonts w:eastAsia="DengXian"/>
          <w:sz w:val="22"/>
          <w:szCs w:val="22"/>
        </w:rPr>
        <w:fldChar w:fldCharType="begin"/>
      </w:r>
      <w:r w:rsidR="00F43B9E">
        <w:rPr>
          <w:rFonts w:eastAsia="DengXian"/>
          <w:sz w:val="22"/>
          <w:szCs w:val="22"/>
        </w:rPr>
        <w:instrText xml:space="preserve"> ADDIN EN.CITE &lt;EndNote&gt;&lt;Cite&gt;&lt;Author&gt;Feenstra&lt;/Author&gt;&lt;Year&gt;2015&lt;/Year&gt;&lt;RecNum&gt;753&lt;/RecNum&gt;&lt;DisplayText&gt;[14]&lt;/DisplayText&gt;&lt;record&gt;&lt;rec-number&gt;753&lt;/rec-number&gt;&lt;foreign-keys&gt;&lt;key app="EN" db-id="2209pvwf8w20erevfr0vavppfap0v2zv5rww" timestamp="1536656564"&gt;753&lt;/key&gt;&lt;/foreign-keys&gt;&lt;ref-type name="Journal Article"&gt;17&lt;/ref-type&gt;&lt;contributors&gt;&lt;authors&gt;&lt;author&gt;Feenstra, Robert C&lt;/author&gt;&lt;author&gt;Inklaar, Robert&lt;/author&gt;&lt;author&gt;Timmer, Marcel P&lt;/author&gt;&lt;/authors&gt;&lt;/contributors&gt;&lt;titles&gt;&lt;title&gt;The next generation of the Penn World Table&lt;/title&gt;&lt;secondary-title&gt;American economic review&lt;/secondary-title&gt;&lt;/titles&gt;&lt;periodical&gt;&lt;full-title&gt;American Economic Review&lt;/full-title&gt;&lt;abbr-1&gt;Amer. Econ. Rev.&lt;/abbr-1&gt;&lt;abbr-2&gt;Amer Econ Rev&lt;/abbr-2&gt;&lt;/periodical&gt;&lt;pages&gt;3150-82&lt;/pages&gt;&lt;volume&gt;105&lt;/volume&gt;&lt;number&gt;10&lt;/number&gt;&lt;dates&gt;&lt;year&gt;2015&lt;/year&gt;&lt;/dates&gt;&lt;isbn&gt;0002-8282&lt;/isbn&gt;&lt;urls&gt;&lt;related-urls&gt;&lt;url&gt;www.ggdc.net/pwt&lt;/url&gt;&lt;/related-urls&gt;&lt;/urls&gt;&lt;/record&gt;&lt;/Cite&gt;&lt;/EndNote&gt;</w:instrText>
      </w:r>
      <w:r w:rsidR="00FA5AAD" w:rsidRPr="00FA5AAD">
        <w:rPr>
          <w:rFonts w:eastAsia="DengXian"/>
          <w:sz w:val="22"/>
          <w:szCs w:val="22"/>
        </w:rPr>
        <w:fldChar w:fldCharType="separate"/>
      </w:r>
      <w:r w:rsidR="00F43B9E">
        <w:rPr>
          <w:rFonts w:eastAsia="DengXian"/>
          <w:noProof/>
          <w:sz w:val="22"/>
          <w:szCs w:val="22"/>
        </w:rPr>
        <w:t>[14]</w:t>
      </w:r>
      <w:r w:rsidR="00FA5AAD" w:rsidRPr="00FA5AAD">
        <w:rPr>
          <w:rFonts w:eastAsia="DengXian"/>
          <w:sz w:val="22"/>
          <w:szCs w:val="22"/>
        </w:rPr>
        <w:fldChar w:fldCharType="end"/>
      </w:r>
      <w:r w:rsidR="00FA5AAD" w:rsidRPr="00FA5AAD">
        <w:rPr>
          <w:rFonts w:eastAsia="DengXian"/>
          <w:sz w:val="22"/>
          <w:szCs w:val="22"/>
        </w:rPr>
        <w:t xml:space="preserve">. Penn World Table 2014 </w:t>
      </w:r>
      <w:r w:rsidR="00FA5AAD" w:rsidRPr="00FA5AAD">
        <w:rPr>
          <w:rFonts w:eastAsia="DengXian"/>
          <w:sz w:val="22"/>
          <w:szCs w:val="22"/>
        </w:rPr>
        <w:fldChar w:fldCharType="begin"/>
      </w:r>
      <w:r w:rsidR="00F43B9E">
        <w:rPr>
          <w:rFonts w:eastAsia="DengXian"/>
          <w:sz w:val="22"/>
          <w:szCs w:val="22"/>
        </w:rPr>
        <w:instrText xml:space="preserve"> ADDIN EN.CITE &lt;EndNote&gt;&lt;Cite&gt;&lt;Author&gt;Feenstra&lt;/Author&gt;&lt;Year&gt;2015&lt;/Year&gt;&lt;RecNum&gt;753&lt;/RecNum&gt;&lt;DisplayText&gt;[14]&lt;/DisplayText&gt;&lt;record&gt;&lt;rec-number&gt;753&lt;/rec-number&gt;&lt;foreign-keys&gt;&lt;key app="EN" db-id="2209pvwf8w20erevfr0vavppfap0v2zv5rww" timestamp="1536656564"&gt;753&lt;/key&gt;&lt;/foreign-keys&gt;&lt;ref-type name="Journal Article"&gt;17&lt;/ref-type&gt;&lt;contributors&gt;&lt;authors&gt;&lt;author&gt;Feenstra, Robert C&lt;/author&gt;&lt;author&gt;Inklaar, Robert&lt;/author&gt;&lt;author&gt;Timmer, Marcel P&lt;/author&gt;&lt;/authors&gt;&lt;/contributors&gt;&lt;titles&gt;&lt;title&gt;The next generation of the Penn World Table&lt;/title&gt;&lt;secondary-title&gt;American economic review&lt;/secondary-title&gt;&lt;/titles&gt;&lt;periodical&gt;&lt;full-title&gt;American Economic Review&lt;/full-title&gt;&lt;abbr-1&gt;Amer. Econ. Rev.&lt;/abbr-1&gt;&lt;abbr-2&gt;Amer Econ Rev&lt;/abbr-2&gt;&lt;/periodical&gt;&lt;pages&gt;3150-82&lt;/pages&gt;&lt;volume&gt;105&lt;/volume&gt;&lt;number&gt;10&lt;/number&gt;&lt;dates&gt;&lt;year&gt;2015&lt;/year&gt;&lt;/dates&gt;&lt;isbn&gt;0002-8282&lt;/isbn&gt;&lt;urls&gt;&lt;related-urls&gt;&lt;url&gt;www.ggdc.net/pwt&lt;/url&gt;&lt;/related-urls&gt;&lt;/urls&gt;&lt;/record&gt;&lt;/Cite&gt;&lt;/EndNote&gt;</w:instrText>
      </w:r>
      <w:r w:rsidR="00FA5AAD" w:rsidRPr="00FA5AAD">
        <w:rPr>
          <w:rFonts w:eastAsia="DengXian"/>
          <w:sz w:val="22"/>
          <w:szCs w:val="22"/>
        </w:rPr>
        <w:fldChar w:fldCharType="separate"/>
      </w:r>
      <w:r w:rsidR="00F43B9E">
        <w:rPr>
          <w:rFonts w:eastAsia="DengXian"/>
          <w:noProof/>
          <w:sz w:val="22"/>
          <w:szCs w:val="22"/>
        </w:rPr>
        <w:t>[14]</w:t>
      </w:r>
      <w:r w:rsidR="00FA5AAD" w:rsidRPr="00FA5AAD">
        <w:rPr>
          <w:rFonts w:eastAsia="DengXian"/>
          <w:sz w:val="22"/>
          <w:szCs w:val="22"/>
        </w:rPr>
        <w:fldChar w:fldCharType="end"/>
      </w:r>
      <w:r w:rsidR="00FA5AAD" w:rsidRPr="00FA5AAD">
        <w:rPr>
          <w:rFonts w:eastAsia="DengXian"/>
          <w:sz w:val="22"/>
          <w:szCs w:val="22"/>
        </w:rPr>
        <w:t xml:space="preserve"> also starts from a Lucas Growth Model and approximates the output elasticity of capital with the capital share of GDP for a range of countries including China.</w:t>
      </w:r>
      <w:r w:rsidR="00FA5AAD" w:rsidDel="00FA5AAD">
        <w:rPr>
          <w:rFonts w:eastAsia="DengXian"/>
          <w:sz w:val="22"/>
          <w:szCs w:val="22"/>
        </w:rPr>
        <w:t xml:space="preserve"> </w:t>
      </w:r>
    </w:p>
    <w:p w14:paraId="358E42D6" w14:textId="77777777" w:rsidR="00D62863" w:rsidRPr="00152B6B" w:rsidRDefault="00D62863" w:rsidP="00B0359A">
      <w:pPr>
        <w:jc w:val="both"/>
        <w:rPr>
          <w:b/>
          <w:sz w:val="22"/>
          <w:szCs w:val="22"/>
        </w:rPr>
      </w:pPr>
    </w:p>
    <w:p w14:paraId="1D334396" w14:textId="50482BFF" w:rsidR="00E43D01" w:rsidRPr="00152B6B" w:rsidRDefault="00D62863" w:rsidP="00E11F60">
      <w:pPr>
        <w:widowControl w:val="0"/>
        <w:autoSpaceDE w:val="0"/>
        <w:autoSpaceDN w:val="0"/>
        <w:adjustRightInd w:val="0"/>
        <w:rPr>
          <w:b/>
          <w:sz w:val="22"/>
          <w:szCs w:val="22"/>
        </w:rPr>
      </w:pPr>
      <w:r w:rsidRPr="00152B6B">
        <w:rPr>
          <w:b/>
          <w:sz w:val="22"/>
          <w:szCs w:val="22"/>
        </w:rPr>
        <w:t xml:space="preserve">Table </w:t>
      </w:r>
      <w:r w:rsidR="00445575">
        <w:rPr>
          <w:b/>
          <w:sz w:val="22"/>
          <w:szCs w:val="22"/>
        </w:rPr>
        <w:t>B</w:t>
      </w:r>
      <w:r w:rsidRPr="00152B6B">
        <w:rPr>
          <w:b/>
          <w:sz w:val="22"/>
          <w:szCs w:val="22"/>
        </w:rPr>
        <w:t xml:space="preserve">. </w:t>
      </w:r>
      <w:r w:rsidR="00363D55" w:rsidRPr="005609BF">
        <w:rPr>
          <w:b/>
          <w:sz w:val="22"/>
          <w:szCs w:val="22"/>
        </w:rPr>
        <w:t>Parameter values and data sources</w:t>
      </w:r>
    </w:p>
    <w:tbl>
      <w:tblPr>
        <w:tblStyle w:val="PlainTable21"/>
        <w:tblW w:w="5000" w:type="pct"/>
        <w:tblLook w:val="0620" w:firstRow="1" w:lastRow="0" w:firstColumn="0" w:lastColumn="0" w:noHBand="1" w:noVBand="1"/>
      </w:tblPr>
      <w:tblGrid>
        <w:gridCol w:w="1532"/>
        <w:gridCol w:w="2540"/>
        <w:gridCol w:w="5504"/>
      </w:tblGrid>
      <w:tr w:rsidR="003E553E" w:rsidRPr="00152B6B" w14:paraId="3C5E0040" w14:textId="77777777" w:rsidTr="006355A0">
        <w:trPr>
          <w:cnfStyle w:val="100000000000" w:firstRow="1" w:lastRow="0" w:firstColumn="0" w:lastColumn="0" w:oddVBand="0" w:evenVBand="0" w:oddHBand="0" w:evenHBand="0" w:firstRowFirstColumn="0" w:firstRowLastColumn="0" w:lastRowFirstColumn="0" w:lastRowLastColumn="0"/>
        </w:trPr>
        <w:tc>
          <w:tcPr>
            <w:tcW w:w="800" w:type="pct"/>
            <w:vAlign w:val="center"/>
          </w:tcPr>
          <w:p w14:paraId="117F72EF" w14:textId="77777777" w:rsidR="003E553E" w:rsidRPr="00152B6B" w:rsidRDefault="003E553E" w:rsidP="00E11F60">
            <w:pPr>
              <w:rPr>
                <w:b w:val="0"/>
              </w:rPr>
            </w:pPr>
            <w:r w:rsidRPr="00152B6B">
              <w:rPr>
                <w:rFonts w:hint="eastAsia"/>
                <w:b w:val="0"/>
              </w:rPr>
              <w:t>Parameter</w:t>
            </w:r>
          </w:p>
        </w:tc>
        <w:tc>
          <w:tcPr>
            <w:tcW w:w="1326" w:type="pct"/>
            <w:vAlign w:val="center"/>
          </w:tcPr>
          <w:p w14:paraId="61690706" w14:textId="77777777" w:rsidR="003E553E" w:rsidRPr="00152B6B" w:rsidRDefault="003E553E" w:rsidP="00E11F60">
            <w:pPr>
              <w:rPr>
                <w:b w:val="0"/>
              </w:rPr>
            </w:pPr>
            <w:r w:rsidRPr="00152B6B">
              <w:rPr>
                <w:rFonts w:hint="eastAsia"/>
                <w:b w:val="0"/>
              </w:rPr>
              <w:t>Value</w:t>
            </w:r>
          </w:p>
        </w:tc>
        <w:tc>
          <w:tcPr>
            <w:tcW w:w="2874" w:type="pct"/>
            <w:vAlign w:val="center"/>
          </w:tcPr>
          <w:p w14:paraId="153F66F8" w14:textId="77777777" w:rsidR="003E553E" w:rsidRPr="00152B6B" w:rsidRDefault="003E553E" w:rsidP="00E11F60">
            <w:pPr>
              <w:rPr>
                <w:b w:val="0"/>
                <w:color w:val="000000" w:themeColor="text1"/>
              </w:rPr>
            </w:pPr>
            <w:r w:rsidRPr="00152B6B">
              <w:rPr>
                <w:rFonts w:hint="eastAsia"/>
                <w:b w:val="0"/>
                <w:color w:val="000000" w:themeColor="text1"/>
              </w:rPr>
              <w:t>Source</w:t>
            </w:r>
          </w:p>
        </w:tc>
      </w:tr>
      <w:tr w:rsidR="003E553E" w:rsidRPr="00152B6B" w14:paraId="4374709B" w14:textId="77777777" w:rsidTr="006355A0">
        <w:tc>
          <w:tcPr>
            <w:tcW w:w="800" w:type="pct"/>
            <w:vAlign w:val="center"/>
          </w:tcPr>
          <w:p w14:paraId="7D3C6E03" w14:textId="77777777" w:rsidR="003E553E" w:rsidRPr="00152B6B" w:rsidRDefault="003E553E" w:rsidP="00E11F60">
            <m:oMathPara>
              <m:oMathParaPr>
                <m:jc m:val="left"/>
              </m:oMathParaPr>
              <m:oMath>
                <m:r>
                  <w:rPr>
                    <w:rFonts w:ascii="Cambria Math" w:hAnsi="Cambria Math"/>
                  </w:rPr>
                  <m:t>α</m:t>
                </m:r>
              </m:oMath>
            </m:oMathPara>
          </w:p>
        </w:tc>
        <w:tc>
          <w:tcPr>
            <w:tcW w:w="1326" w:type="pct"/>
            <w:vAlign w:val="center"/>
          </w:tcPr>
          <w:p w14:paraId="12557655" w14:textId="77777777" w:rsidR="003E553E" w:rsidRPr="00152B6B" w:rsidRDefault="003E553E" w:rsidP="00E11F60">
            <w:r w:rsidRPr="00152B6B">
              <w:rPr>
                <w:rFonts w:hint="eastAsia"/>
              </w:rPr>
              <w:t>0.43</w:t>
            </w:r>
          </w:p>
        </w:tc>
        <w:tc>
          <w:tcPr>
            <w:tcW w:w="2874" w:type="pct"/>
            <w:vAlign w:val="center"/>
          </w:tcPr>
          <w:p w14:paraId="73A95D7D" w14:textId="29071A90" w:rsidR="003E553E" w:rsidRPr="00152B6B" w:rsidRDefault="003E553E" w:rsidP="00F43B9E">
            <w:pPr>
              <w:rPr>
                <w:color w:val="000000" w:themeColor="text1"/>
              </w:rPr>
            </w:pPr>
            <w:r w:rsidRPr="00152B6B">
              <w:rPr>
                <w:color w:val="000000" w:themeColor="text1"/>
              </w:rPr>
              <w:fldChar w:fldCharType="begin"/>
            </w:r>
            <w:r w:rsidR="00F43B9E">
              <w:rPr>
                <w:color w:val="000000" w:themeColor="text1"/>
              </w:rPr>
              <w:instrText xml:space="preserve"> ADDIN EN.CITE &lt;EndNote&gt;&lt;Cite&gt;&lt;Author&gt;Jones&lt;/Author&gt;&lt;Year&gt;1995&lt;/Year&gt;&lt;RecNum&gt;105&lt;/RecNum&gt;&lt;DisplayText&gt;[14, 15]&lt;/DisplayText&gt;&lt;record&gt;&lt;rec-number&gt;105&lt;/rec-number&gt;&lt;foreign-keys&gt;&lt;key app="EN" db-id="2209pvwf8w20erevfr0vavppfap0v2zv5rww" timestamp="1508786875"&gt;105&lt;/key&gt;&lt;/foreign-keys&gt;&lt;ref-type name="Journal Article"&gt;17&lt;/ref-type&gt;&lt;contributors&gt;&lt;authors&gt;&lt;author&gt;Jones, Charles I&lt;/author&gt;&lt;/authors&gt;&lt;/contributors&gt;&lt;titles&gt;&lt;title&gt;R&amp;amp;D-based models of economic growth&lt;/title&gt;&lt;secondary-title&gt;Journal of political Economy&lt;/secondary-title&gt;&lt;/titles&gt;&lt;periodical&gt;&lt;full-title&gt;Journal of Political Economy&lt;/full-title&gt;&lt;abbr-1&gt;J. Polit. Economy&lt;/abbr-1&gt;&lt;abbr-2&gt;J Polit Economy&lt;/abbr-2&gt;&lt;/periodical&gt;&lt;pages&gt;759-784&lt;/pages&gt;&lt;volume&gt;103&lt;/volume&gt;&lt;number&gt;4&lt;/number&gt;&lt;dates&gt;&lt;year&gt;1995&lt;/year&gt;&lt;/dates&gt;&lt;isbn&gt;0022-3808&lt;/isbn&gt;&lt;urls&gt;&lt;/urls&gt;&lt;/record&gt;&lt;/Cite&gt;&lt;Cite&gt;&lt;Author&gt;Feenstra&lt;/Author&gt;&lt;Year&gt;2015&lt;/Year&gt;&lt;RecNum&gt;753&lt;/RecNum&gt;&lt;record&gt;&lt;rec-number&gt;753&lt;/rec-number&gt;&lt;foreign-keys&gt;&lt;key app="EN" db-id="2209pvwf8w20erevfr0vavppfap0v2zv5rww" timestamp="1536656564"&gt;753&lt;/key&gt;&lt;/foreign-keys&gt;&lt;ref-type name="Journal Article"&gt;17&lt;/ref-type&gt;&lt;contributors&gt;&lt;authors&gt;&lt;author&gt;Feenstra, Robert C&lt;/author&gt;&lt;author&gt;Inklaar, Robert&lt;/author&gt;&lt;author&gt;Timmer, Marcel P&lt;/author&gt;&lt;/authors&gt;&lt;/contributors&gt;&lt;titles&gt;&lt;title&gt;The next generation of the Penn World Table&lt;/title&gt;&lt;secondary-title&gt;American economic review&lt;/secondary-title&gt;&lt;/titles&gt;&lt;periodical&gt;&lt;full-title&gt;American Economic Review&lt;/full-title&gt;&lt;abbr-1&gt;Amer. Econ. Rev.&lt;/abbr-1&gt;&lt;abbr-2&gt;Amer Econ Rev&lt;/abbr-2&gt;&lt;/periodical&gt;&lt;pages&gt;3150-82&lt;/pages&gt;&lt;volume&gt;105&lt;/volume&gt;&lt;number&gt;10&lt;/number&gt;&lt;dates&gt;&lt;year&gt;2015&lt;/year&gt;&lt;/dates&gt;&lt;isbn&gt;0002-8282&lt;/isbn&gt;&lt;urls&gt;&lt;related-urls&gt;&lt;url&gt;www.ggdc.net/pwt&lt;/url&gt;&lt;/related-urls&gt;&lt;/urls&gt;&lt;/record&gt;&lt;/Cite&gt;&lt;/EndNote&gt;</w:instrText>
            </w:r>
            <w:r w:rsidRPr="00152B6B">
              <w:rPr>
                <w:color w:val="000000" w:themeColor="text1"/>
              </w:rPr>
              <w:fldChar w:fldCharType="separate"/>
            </w:r>
            <w:r w:rsidR="00F43B9E">
              <w:rPr>
                <w:noProof/>
                <w:color w:val="000000" w:themeColor="text1"/>
              </w:rPr>
              <w:t>[14, 15]</w:t>
            </w:r>
            <w:r w:rsidRPr="00152B6B">
              <w:rPr>
                <w:color w:val="000000" w:themeColor="text1"/>
              </w:rPr>
              <w:fldChar w:fldCharType="end"/>
            </w:r>
          </w:p>
        </w:tc>
      </w:tr>
      <w:tr w:rsidR="003E553E" w:rsidRPr="00152B6B" w14:paraId="442F1E5A" w14:textId="77777777" w:rsidTr="006355A0">
        <w:tc>
          <w:tcPr>
            <w:tcW w:w="800" w:type="pct"/>
            <w:vAlign w:val="center"/>
          </w:tcPr>
          <w:p w14:paraId="6510CF3C" w14:textId="77777777" w:rsidR="003E553E" w:rsidRPr="00152B6B" w:rsidRDefault="003E553E" w:rsidP="00E11F60">
            <m:oMathPara>
              <m:oMathParaPr>
                <m:jc m:val="left"/>
              </m:oMathParaPr>
              <m:oMath>
                <m:r>
                  <w:rPr>
                    <w:rFonts w:ascii="Cambria Math" w:hAnsi="Cambria Math"/>
                  </w:rPr>
                  <m:t>δ</m:t>
                </m:r>
              </m:oMath>
            </m:oMathPara>
          </w:p>
        </w:tc>
        <w:tc>
          <w:tcPr>
            <w:tcW w:w="1326" w:type="pct"/>
            <w:vAlign w:val="center"/>
          </w:tcPr>
          <w:p w14:paraId="50EB2456" w14:textId="3291CDA0" w:rsidR="003E553E" w:rsidRPr="00152B6B" w:rsidRDefault="003E553E" w:rsidP="00E11F60">
            <w:r w:rsidRPr="00152B6B">
              <w:t>0</w:t>
            </w:r>
            <w:r w:rsidR="00805455">
              <w:t>.</w:t>
            </w:r>
            <w:r w:rsidRPr="00152B6B">
              <w:t>05</w:t>
            </w:r>
          </w:p>
        </w:tc>
        <w:tc>
          <w:tcPr>
            <w:tcW w:w="2874" w:type="pct"/>
            <w:vAlign w:val="center"/>
          </w:tcPr>
          <w:p w14:paraId="67DDD487" w14:textId="01AD570D" w:rsidR="003E553E" w:rsidRPr="00152B6B" w:rsidRDefault="003E553E" w:rsidP="00F43B9E">
            <w:pPr>
              <w:rPr>
                <w:color w:val="000000" w:themeColor="text1"/>
              </w:rPr>
            </w:pPr>
            <w:r w:rsidRPr="00152B6B">
              <w:rPr>
                <w:color w:val="000000" w:themeColor="text1"/>
              </w:rPr>
              <w:fldChar w:fldCharType="begin"/>
            </w:r>
            <w:r w:rsidR="00F43B9E">
              <w:rPr>
                <w:color w:val="000000" w:themeColor="text1"/>
              </w:rPr>
              <w:instrText xml:space="preserve"> ADDIN EN.CITE &lt;EndNote&gt;&lt;Cite&gt;&lt;Author&gt;Grossmann&lt;/Author&gt;&lt;Year&gt;2013&lt;/Year&gt;&lt;RecNum&gt;779&lt;/RecNum&gt;&lt;DisplayText&gt;[16]&lt;/DisplayText&gt;&lt;record&gt;&lt;rec-number&gt;779&lt;/rec-number&gt;&lt;foreign-keys&gt;&lt;key app="EN" db-id="2209pvwf8w20erevfr0vavppfap0v2zv5rww" timestamp="1537889229"&gt;779&lt;/key&gt;&lt;/foreign-keys&gt;&lt;ref-type name="Journal Article"&gt;17&lt;/ref-type&gt;&lt;contributors&gt;&lt;authors&gt;&lt;author&gt;Grossmann, Volker&lt;/author&gt;&lt;author&gt;Steger, Thomas&lt;/author&gt;&lt;author&gt;Trimborn, Timo&lt;/author&gt;&lt;/authors&gt;&lt;/contributors&gt;&lt;titles&gt;&lt;title&gt;Dynamically optimal R&amp;amp;D subsidization&lt;/title&gt;&lt;secondary-title&gt;Journal of Economic Dynamics and Control&lt;/secondary-title&gt;&lt;/titles&gt;&lt;periodical&gt;&lt;full-title&gt;Journal of Economic Dynamics and Control&lt;/full-title&gt;&lt;abbr-1&gt;J. Econ. Dynam. Control&lt;/abbr-1&gt;&lt;abbr-2&gt;J Econ Dynam Control&lt;/abbr-2&gt;&lt;/periodical&gt;&lt;pages&gt;516-534&lt;/pages&gt;&lt;volume&gt;37&lt;/volume&gt;&lt;number&gt;3&lt;/number&gt;&lt;dates&gt;&lt;year&gt;2013&lt;/year&gt;&lt;/dates&gt;&lt;isbn&gt;0165-1889&lt;/isbn&gt;&lt;urls&gt;&lt;/urls&gt;&lt;/record&gt;&lt;/Cite&gt;&lt;/EndNote&gt;</w:instrText>
            </w:r>
            <w:r w:rsidRPr="00152B6B">
              <w:rPr>
                <w:color w:val="000000" w:themeColor="text1"/>
              </w:rPr>
              <w:fldChar w:fldCharType="separate"/>
            </w:r>
            <w:r w:rsidR="00F43B9E">
              <w:rPr>
                <w:noProof/>
                <w:color w:val="000000" w:themeColor="text1"/>
              </w:rPr>
              <w:t>[16]</w:t>
            </w:r>
            <w:r w:rsidRPr="00152B6B">
              <w:rPr>
                <w:color w:val="000000" w:themeColor="text1"/>
              </w:rPr>
              <w:fldChar w:fldCharType="end"/>
            </w:r>
          </w:p>
        </w:tc>
      </w:tr>
      <w:tr w:rsidR="003E553E" w:rsidRPr="00152B6B" w14:paraId="5EE7F724" w14:textId="77777777" w:rsidTr="006355A0">
        <w:tc>
          <w:tcPr>
            <w:tcW w:w="800" w:type="pct"/>
            <w:vAlign w:val="center"/>
          </w:tcPr>
          <w:p w14:paraId="5EAC3E55" w14:textId="77777777" w:rsidR="003E553E" w:rsidRPr="00152B6B" w:rsidRDefault="003E553E" w:rsidP="00E11F60">
            <w:pPr>
              <w:rPr>
                <w:rFonts w:eastAsia="DengXian"/>
              </w:rPr>
            </w:pPr>
            <m:oMathPara>
              <m:oMathParaPr>
                <m:jc m:val="left"/>
              </m:oMathParaPr>
              <m:oMath>
                <m:r>
                  <w:rPr>
                    <w:rFonts w:ascii="Cambria Math" w:eastAsia="DengXian" w:hAnsi="Cambria Math"/>
                  </w:rPr>
                  <m:t>s</m:t>
                </m:r>
              </m:oMath>
            </m:oMathPara>
          </w:p>
        </w:tc>
        <w:tc>
          <w:tcPr>
            <w:tcW w:w="1326" w:type="pct"/>
            <w:vAlign w:val="center"/>
          </w:tcPr>
          <w:p w14:paraId="10E02257" w14:textId="02E790E0" w:rsidR="003E553E" w:rsidRPr="00152B6B" w:rsidRDefault="003E553E" w:rsidP="00E11F60">
            <w:pPr>
              <w:rPr>
                <w:vertAlign w:val="superscript"/>
              </w:rPr>
            </w:pPr>
            <w:r w:rsidRPr="00152B6B">
              <w:rPr>
                <w:rFonts w:hint="eastAsia"/>
              </w:rPr>
              <w:t>48.7%</w:t>
            </w:r>
          </w:p>
        </w:tc>
        <w:tc>
          <w:tcPr>
            <w:tcW w:w="2874" w:type="pct"/>
            <w:vAlign w:val="center"/>
          </w:tcPr>
          <w:p w14:paraId="019226D2" w14:textId="781B107F" w:rsidR="003E553E" w:rsidRPr="00152B6B" w:rsidRDefault="003E553E" w:rsidP="00F43B9E">
            <w:pPr>
              <w:rPr>
                <w:color w:val="000000" w:themeColor="text1"/>
              </w:rPr>
            </w:pPr>
            <w:r w:rsidRPr="00152B6B">
              <w:rPr>
                <w:color w:val="000000" w:themeColor="text1"/>
              </w:rPr>
              <w:fldChar w:fldCharType="begin"/>
            </w:r>
            <w:r w:rsidR="00F43B9E">
              <w:rPr>
                <w:color w:val="000000" w:themeColor="text1"/>
              </w:rPr>
              <w:instrText xml:space="preserve"> ADDIN EN.CITE &lt;EndNote&gt;&lt;Cite&gt;&lt;Author&gt;World Bank&lt;/Author&gt;&lt;Year&gt;2018&lt;/Year&gt;&lt;RecNum&gt;104&lt;/RecNum&gt;&lt;DisplayText&gt;[17]&lt;/DisplayText&gt;&lt;record&gt;&lt;rec-number&gt;104&lt;/rec-number&gt;&lt;foreign-keys&gt;&lt;key app="EN" db-id="2209pvwf8w20erevfr0vavppfap0v2zv5rww" timestamp="1508786651"&gt;104&lt;/key&gt;&lt;/foreign-keys&gt;&lt;ref-type name="Web Page"&gt;12&lt;/ref-type&gt;&lt;contributors&gt;&lt;authors&gt;&lt;author&gt;World Bank,&lt;/author&gt;&lt;/authors&gt;&lt;/contributors&gt;&lt;titles&gt;&lt;title&gt;World Bank database, gross savings (% of GDP)&lt;/title&gt;&lt;/titles&gt;&lt;volume&gt;2018&lt;/volume&gt;&lt;number&gt;March 20&lt;/number&gt;&lt;dates&gt;&lt;year&gt;2018&lt;/year&gt;&lt;/dates&gt;&lt;urls&gt;&lt;related-urls&gt;&lt;url&gt;https://data.worldbank.org/indicator/NY.GNS.ICTR.ZS&lt;/url&gt;&lt;/related-urls&gt;&lt;/urls&gt;&lt;/record&gt;&lt;/Cite&gt;&lt;/EndNote&gt;</w:instrText>
            </w:r>
            <w:r w:rsidRPr="00152B6B">
              <w:rPr>
                <w:color w:val="000000" w:themeColor="text1"/>
              </w:rPr>
              <w:fldChar w:fldCharType="separate"/>
            </w:r>
            <w:r w:rsidR="00F43B9E">
              <w:rPr>
                <w:noProof/>
                <w:color w:val="000000" w:themeColor="text1"/>
              </w:rPr>
              <w:t>[17]</w:t>
            </w:r>
            <w:r w:rsidRPr="00152B6B">
              <w:rPr>
                <w:color w:val="000000" w:themeColor="text1"/>
              </w:rPr>
              <w:fldChar w:fldCharType="end"/>
            </w:r>
          </w:p>
        </w:tc>
      </w:tr>
      <w:tr w:rsidR="003E553E" w:rsidRPr="00152B6B" w14:paraId="6BCCEB11" w14:textId="77777777" w:rsidTr="006355A0">
        <w:tc>
          <w:tcPr>
            <w:tcW w:w="800" w:type="pct"/>
            <w:vAlign w:val="center"/>
          </w:tcPr>
          <w:p w14:paraId="04010A68" w14:textId="77474AE1" w:rsidR="003E553E" w:rsidRPr="00152B6B" w:rsidRDefault="00082FAB" w:rsidP="00E11F60">
            <m:oMathPara>
              <m:oMathParaPr>
                <m:jc m:val="left"/>
              </m:oMathParaPr>
              <m:oMath>
                <m:sSub>
                  <m:sSubPr>
                    <m:ctrlPr>
                      <w:rPr>
                        <w:rFonts w:ascii="Cambria Math" w:hAnsi="Cambria Math"/>
                      </w:rPr>
                    </m:ctrlPr>
                  </m:sSubPr>
                  <m:e>
                    <m:r>
                      <w:rPr>
                        <w:rFonts w:ascii="Cambria Math" w:hAnsi="Cambria Math"/>
                      </w:rPr>
                      <m:t>η</m:t>
                    </m:r>
                  </m:e>
                  <m:sub>
                    <m:r>
                      <m:rPr>
                        <m:sty m:val="p"/>
                      </m:rPr>
                      <w:rPr>
                        <w:rFonts w:ascii="Cambria Math" w:hAnsi="Cambria Math"/>
                      </w:rPr>
                      <m:t>1</m:t>
                    </m:r>
                  </m:sub>
                </m:sSub>
              </m:oMath>
            </m:oMathPara>
          </w:p>
        </w:tc>
        <w:tc>
          <w:tcPr>
            <w:tcW w:w="1326" w:type="pct"/>
            <w:vAlign w:val="center"/>
          </w:tcPr>
          <w:p w14:paraId="36F8ED0E" w14:textId="77777777" w:rsidR="003E553E" w:rsidRPr="00152B6B" w:rsidRDefault="003E553E" w:rsidP="00E11F60">
            <w:r w:rsidRPr="00152B6B">
              <w:rPr>
                <w:rFonts w:hint="eastAsia"/>
              </w:rPr>
              <w:t>0.102</w:t>
            </w:r>
          </w:p>
        </w:tc>
        <w:tc>
          <w:tcPr>
            <w:tcW w:w="2874" w:type="pct"/>
            <w:vAlign w:val="center"/>
          </w:tcPr>
          <w:p w14:paraId="06AB118C" w14:textId="4BE6B684" w:rsidR="003E553E" w:rsidRPr="00152B6B" w:rsidRDefault="003E553E" w:rsidP="00F43B9E">
            <w:pPr>
              <w:rPr>
                <w:color w:val="000000" w:themeColor="text1"/>
              </w:rPr>
            </w:pPr>
            <w:r w:rsidRPr="00152B6B">
              <w:rPr>
                <w:color w:val="000000" w:themeColor="text1"/>
              </w:rPr>
              <w:fldChar w:fldCharType="begin"/>
            </w:r>
            <w:r w:rsidR="00F43B9E">
              <w:rPr>
                <w:color w:val="000000" w:themeColor="text1"/>
              </w:rPr>
              <w:instrText xml:space="preserve"> ADDIN EN.CITE &lt;EndNote&gt;&lt;Cite&gt;&lt;Author&gt;Psacharopoulos&lt;/Author&gt;&lt;Year&gt;2018&lt;/Year&gt;&lt;RecNum&gt;778&lt;/RecNum&gt;&lt;DisplayText&gt;[18]&lt;/DisplayText&gt;&lt;record&gt;&lt;rec-number&gt;778&lt;/rec-number&gt;&lt;foreign-keys&gt;&lt;key app="EN" db-id="2209pvwf8w20erevfr0vavppfap0v2zv5rww" timestamp="1537889072"&gt;778&lt;/key&gt;&lt;/foreign-keys&gt;&lt;ref-type name="Journal Article"&gt;17&lt;/ref-type&gt;&lt;contributors&gt;&lt;authors&gt;&lt;author&gt;Psacharopoulos, George&lt;/author&gt;&lt;author&gt;Patrinos, Harry Antony&lt;/author&gt;&lt;/authors&gt;&lt;/contributors&gt;&lt;titles&gt;&lt;title&gt;Returns to investment in education: a decennial review of the global literature&lt;/title&gt;&lt;secondary-title&gt;Education Economics&lt;/secondary-title&gt;&lt;/titles&gt;&lt;periodical&gt;&lt;full-title&gt;Education Economics&lt;/full-title&gt;&lt;abbr-1&gt;Educ. Econ.&lt;/abbr-1&gt;&lt;abbr-2&gt;Educ Econ&lt;/abbr-2&gt;&lt;/periodical&gt;&lt;pages&gt;1-14&lt;/pages&gt;&lt;dates&gt;&lt;year&gt;2018&lt;/year&gt;&lt;/dates&gt;&lt;isbn&gt;0964-5292&lt;/isbn&gt;&lt;urls&gt;&lt;/urls&gt;&lt;/record&gt;&lt;/Cite&gt;&lt;/EndNote&gt;</w:instrText>
            </w:r>
            <w:r w:rsidRPr="00152B6B">
              <w:rPr>
                <w:color w:val="000000" w:themeColor="text1"/>
              </w:rPr>
              <w:fldChar w:fldCharType="separate"/>
            </w:r>
            <w:r w:rsidR="00F43B9E">
              <w:rPr>
                <w:noProof/>
                <w:color w:val="000000" w:themeColor="text1"/>
              </w:rPr>
              <w:t>[18]</w:t>
            </w:r>
            <w:r w:rsidRPr="00152B6B">
              <w:rPr>
                <w:color w:val="000000" w:themeColor="text1"/>
              </w:rPr>
              <w:fldChar w:fldCharType="end"/>
            </w:r>
          </w:p>
        </w:tc>
      </w:tr>
      <w:tr w:rsidR="003E553E" w:rsidRPr="00152B6B" w14:paraId="2483A567" w14:textId="77777777" w:rsidTr="006355A0">
        <w:tc>
          <w:tcPr>
            <w:tcW w:w="800" w:type="pct"/>
            <w:vAlign w:val="center"/>
          </w:tcPr>
          <w:p w14:paraId="2F62E8C2" w14:textId="29D19E6F" w:rsidR="003E553E" w:rsidRPr="00152B6B" w:rsidRDefault="00082FAB" w:rsidP="00E11F60">
            <m:oMathPara>
              <m:oMathParaPr>
                <m:jc m:val="left"/>
              </m:oMathParaPr>
              <m:oMath>
                <m:sSub>
                  <m:sSubPr>
                    <m:ctrlPr>
                      <w:rPr>
                        <w:rFonts w:ascii="Cambria Math" w:hAnsi="Cambria Math"/>
                      </w:rPr>
                    </m:ctrlPr>
                  </m:sSubPr>
                  <m:e>
                    <m:r>
                      <w:rPr>
                        <w:rFonts w:ascii="Cambria Math" w:hAnsi="Cambria Math"/>
                      </w:rPr>
                      <m:t>η</m:t>
                    </m:r>
                  </m:e>
                  <m:sub>
                    <m:r>
                      <m:rPr>
                        <m:sty m:val="p"/>
                      </m:rPr>
                      <w:rPr>
                        <w:rFonts w:ascii="Cambria Math" w:hAnsi="Cambria Math"/>
                      </w:rPr>
                      <m:t>2</m:t>
                    </m:r>
                  </m:sub>
                </m:sSub>
              </m:oMath>
            </m:oMathPara>
          </w:p>
        </w:tc>
        <w:tc>
          <w:tcPr>
            <w:tcW w:w="1326" w:type="pct"/>
            <w:vAlign w:val="center"/>
          </w:tcPr>
          <w:p w14:paraId="00881E71" w14:textId="1E8A3EBB" w:rsidR="003E553E" w:rsidRPr="00152B6B" w:rsidRDefault="003E553E" w:rsidP="00E11F60">
            <w:r w:rsidRPr="00152B6B">
              <w:rPr>
                <w:rFonts w:hint="eastAsia"/>
              </w:rPr>
              <w:t>0</w:t>
            </w:r>
            <w:r w:rsidR="00805455">
              <w:t>.</w:t>
            </w:r>
            <w:r w:rsidRPr="00152B6B">
              <w:t>1301</w:t>
            </w:r>
          </w:p>
        </w:tc>
        <w:tc>
          <w:tcPr>
            <w:tcW w:w="2874" w:type="pct"/>
            <w:vAlign w:val="center"/>
          </w:tcPr>
          <w:p w14:paraId="01047EDD" w14:textId="20E59849" w:rsidR="003E553E" w:rsidRPr="00152B6B" w:rsidRDefault="003E553E" w:rsidP="00F43B9E">
            <w:pPr>
              <w:rPr>
                <w:color w:val="000000" w:themeColor="text1"/>
              </w:rPr>
            </w:pPr>
            <w:r w:rsidRPr="00152B6B">
              <w:rPr>
                <w:color w:val="000000" w:themeColor="text1"/>
              </w:rPr>
              <w:fldChar w:fldCharType="begin"/>
            </w:r>
            <w:r w:rsidR="00F43B9E">
              <w:rPr>
                <w:color w:val="000000" w:themeColor="text1"/>
              </w:rPr>
              <w:instrText xml:space="preserve"> ADDIN EN.CITE &lt;EndNote&gt;&lt;Cite&gt;&lt;Author&gt;Heckman&lt;/Author&gt;&lt;Year&gt;2006&lt;/Year&gt;&lt;RecNum&gt;106&lt;/RecNum&gt;&lt;DisplayText&gt;[19]&lt;/DisplayText&gt;&lt;record&gt;&lt;rec-number&gt;106&lt;/rec-number&gt;&lt;foreign-keys&gt;&lt;key app="EN" db-id="2209pvwf8w20erevfr0vavppfap0v2zv5rww" timestamp="1508786929"&gt;106&lt;/key&gt;&lt;/foreign-keys&gt;&lt;ref-type name="Journal Article"&gt;17&lt;/ref-type&gt;&lt;contributors&gt;&lt;authors&gt;&lt;author&gt;Heckman, James J&lt;/author&gt;&lt;author&gt;Lochner, Lance J&lt;/author&gt;&lt;author&gt;Todd, Petra E&lt;/author&gt;&lt;/authors&gt;&lt;/contributors&gt;&lt;titles&gt;&lt;title&gt;Earnings functions, rates of return and treatment effects: The Mincer equation and beyond&lt;/title&gt;&lt;secondary-title&gt;Handbook of the Economics of Education&lt;/secondary-title&gt;&lt;/titles&gt;&lt;periodical&gt;&lt;full-title&gt;Handbook of the Economics of Education&lt;/full-title&gt;&lt;/periodical&gt;&lt;pages&gt;307–458&lt;/pages&gt;&lt;volume&gt;1&lt;/volume&gt;&lt;number&gt;2006&lt;/number&gt;&lt;dates&gt;&lt;year&gt;2006&lt;/year&gt;&lt;/dates&gt;&lt;isbn&gt;1574-0692&lt;/isbn&gt;&lt;urls&gt;&lt;/urls&gt;&lt;electronic-resource-num&gt;10.1016/S1574-0692(06)01007-5&lt;/electronic-resource-num&gt;&lt;/record&gt;&lt;/Cite&gt;&lt;/EndNote&gt;</w:instrText>
            </w:r>
            <w:r w:rsidRPr="00152B6B">
              <w:rPr>
                <w:color w:val="000000" w:themeColor="text1"/>
              </w:rPr>
              <w:fldChar w:fldCharType="separate"/>
            </w:r>
            <w:r w:rsidR="00F43B9E">
              <w:rPr>
                <w:noProof/>
                <w:color w:val="000000" w:themeColor="text1"/>
              </w:rPr>
              <w:t>[19]</w:t>
            </w:r>
            <w:r w:rsidRPr="00152B6B">
              <w:rPr>
                <w:color w:val="000000" w:themeColor="text1"/>
              </w:rPr>
              <w:fldChar w:fldCharType="end"/>
            </w:r>
          </w:p>
        </w:tc>
      </w:tr>
      <w:tr w:rsidR="003E553E" w:rsidRPr="00152B6B" w14:paraId="35DB71D0" w14:textId="77777777" w:rsidTr="006355A0">
        <w:tc>
          <w:tcPr>
            <w:tcW w:w="800" w:type="pct"/>
            <w:vAlign w:val="center"/>
          </w:tcPr>
          <w:p w14:paraId="696D1979" w14:textId="4F337176" w:rsidR="003E553E" w:rsidRPr="00152B6B" w:rsidRDefault="00082FAB" w:rsidP="00E11F60">
            <m:oMathPara>
              <m:oMathParaPr>
                <m:jc m:val="left"/>
              </m:oMathParaPr>
              <m:oMath>
                <m:sSub>
                  <m:sSubPr>
                    <m:ctrlPr>
                      <w:rPr>
                        <w:rFonts w:ascii="Cambria Math" w:hAnsi="Cambria Math"/>
                      </w:rPr>
                    </m:ctrlPr>
                  </m:sSubPr>
                  <m:e>
                    <m:r>
                      <w:rPr>
                        <w:rFonts w:ascii="Cambria Math" w:hAnsi="Cambria Math"/>
                      </w:rPr>
                      <m:t>η</m:t>
                    </m:r>
                  </m:e>
                  <m:sub>
                    <m:r>
                      <m:rPr>
                        <m:sty m:val="p"/>
                      </m:rPr>
                      <w:rPr>
                        <w:rFonts w:ascii="Cambria Math" w:hAnsi="Cambria Math"/>
                      </w:rPr>
                      <m:t>3</m:t>
                    </m:r>
                  </m:sub>
                </m:sSub>
              </m:oMath>
            </m:oMathPara>
          </w:p>
        </w:tc>
        <w:tc>
          <w:tcPr>
            <w:tcW w:w="1326" w:type="pct"/>
            <w:vAlign w:val="center"/>
          </w:tcPr>
          <w:p w14:paraId="1977193A" w14:textId="389549FA" w:rsidR="003E553E" w:rsidRPr="00152B6B" w:rsidRDefault="003E553E" w:rsidP="00E11F60">
            <w:r w:rsidRPr="00152B6B">
              <w:t>−</w:t>
            </w:r>
            <w:r w:rsidRPr="00152B6B">
              <w:rPr>
                <w:rFonts w:hint="eastAsia"/>
              </w:rPr>
              <w:t>0</w:t>
            </w:r>
            <w:r w:rsidR="00805455">
              <w:t>.</w:t>
            </w:r>
            <w:r w:rsidRPr="00152B6B">
              <w:rPr>
                <w:rFonts w:hint="eastAsia"/>
              </w:rPr>
              <w:t>00</w:t>
            </w:r>
            <w:r w:rsidRPr="00152B6B">
              <w:t>23</w:t>
            </w:r>
          </w:p>
        </w:tc>
        <w:tc>
          <w:tcPr>
            <w:tcW w:w="2874" w:type="pct"/>
            <w:vAlign w:val="center"/>
          </w:tcPr>
          <w:p w14:paraId="090F9533" w14:textId="34FBC4A5" w:rsidR="003E553E" w:rsidRPr="00152B6B" w:rsidRDefault="003E553E" w:rsidP="00F43B9E">
            <w:pPr>
              <w:rPr>
                <w:color w:val="000000" w:themeColor="text1"/>
              </w:rPr>
            </w:pPr>
            <w:r w:rsidRPr="00152B6B">
              <w:rPr>
                <w:color w:val="000000" w:themeColor="text1"/>
              </w:rPr>
              <w:fldChar w:fldCharType="begin"/>
            </w:r>
            <w:r w:rsidR="00F43B9E">
              <w:rPr>
                <w:color w:val="000000" w:themeColor="text1"/>
              </w:rPr>
              <w:instrText xml:space="preserve"> ADDIN EN.CITE &lt;EndNote&gt;&lt;Cite&gt;&lt;Author&gt;Heckman&lt;/Author&gt;&lt;Year&gt;2006&lt;/Year&gt;&lt;RecNum&gt;106&lt;/RecNum&gt;&lt;DisplayText&gt;[19]&lt;/DisplayText&gt;&lt;record&gt;&lt;rec-number&gt;106&lt;/rec-number&gt;&lt;foreign-keys&gt;&lt;key app="EN" db-id="2209pvwf8w20erevfr0vavppfap0v2zv5rww" timestamp="1508786929"&gt;106&lt;/key&gt;&lt;/foreign-keys&gt;&lt;ref-type name="Journal Article"&gt;17&lt;/ref-type&gt;&lt;contributors&gt;&lt;authors&gt;&lt;author&gt;Heckman, James J&lt;/author&gt;&lt;author&gt;Lochner, Lance J&lt;/author&gt;&lt;author&gt;Todd, Petra E&lt;/author&gt;&lt;/authors&gt;&lt;/contributors&gt;&lt;titles&gt;&lt;title&gt;Earnings functions, rates of return and treatment effects: The Mincer equation and beyond&lt;/title&gt;&lt;secondary-title&gt;Handbook of the Economics of Education&lt;/secondary-title&gt;&lt;/titles&gt;&lt;periodical&gt;&lt;full-title&gt;Handbook of the Economics of Education&lt;/full-title&gt;&lt;/periodical&gt;&lt;pages&gt;307–458&lt;/pages&gt;&lt;volume&gt;1&lt;/volume&gt;&lt;number&gt;2006&lt;/number&gt;&lt;dates&gt;&lt;year&gt;2006&lt;/year&gt;&lt;/dates&gt;&lt;isbn&gt;1574-0692&lt;/isbn&gt;&lt;urls&gt;&lt;/urls&gt;&lt;electronic-resource-num&gt;10.1016/S1574-0692(06)01007-5&lt;/electronic-resource-num&gt;&lt;/record&gt;&lt;/Cite&gt;&lt;/EndNote&gt;</w:instrText>
            </w:r>
            <w:r w:rsidRPr="00152B6B">
              <w:rPr>
                <w:color w:val="000000" w:themeColor="text1"/>
              </w:rPr>
              <w:fldChar w:fldCharType="separate"/>
            </w:r>
            <w:r w:rsidR="00F43B9E">
              <w:rPr>
                <w:noProof/>
                <w:color w:val="000000" w:themeColor="text1"/>
              </w:rPr>
              <w:t>[19]</w:t>
            </w:r>
            <w:r w:rsidRPr="00152B6B">
              <w:rPr>
                <w:color w:val="000000" w:themeColor="text1"/>
              </w:rPr>
              <w:fldChar w:fldCharType="end"/>
            </w:r>
          </w:p>
        </w:tc>
      </w:tr>
      <w:tr w:rsidR="003E553E" w:rsidRPr="00152B6B" w14:paraId="2280BC18" w14:textId="77777777" w:rsidTr="006355A0">
        <w:tc>
          <w:tcPr>
            <w:tcW w:w="800" w:type="pct"/>
            <w:vAlign w:val="center"/>
          </w:tcPr>
          <w:p w14:paraId="3EA9F973" w14:textId="0C7ED885" w:rsidR="003E553E" w:rsidRPr="008925B0" w:rsidRDefault="00082FAB" w:rsidP="00E11F60">
            <w:pPr>
              <w:rPr>
                <w:i/>
              </w:rPr>
            </w:pPr>
            <m:oMathPara>
              <m:oMathParaPr>
                <m:jc m:val="left"/>
              </m:oMathParaPr>
              <m:oMath>
                <m:sSub>
                  <m:sSubPr>
                    <m:ctrlPr>
                      <w:rPr>
                        <w:rFonts w:ascii="Cambria Math" w:hAnsi="Cambria Math"/>
                        <w:i/>
                      </w:rPr>
                    </m:ctrlPr>
                  </m:sSubPr>
                  <m:e>
                    <m:r>
                      <w:rPr>
                        <w:rFonts w:ascii="Cambria Math" w:hAnsi="Cambria Math"/>
                      </w:rPr>
                      <m:t>χ</m:t>
                    </m:r>
                  </m:e>
                  <m:sub>
                    <m:r>
                      <w:rPr>
                        <w:rFonts w:ascii="Cambria Math" w:hAnsi="Cambria Math"/>
                      </w:rPr>
                      <m:t>i</m:t>
                    </m:r>
                  </m:sub>
                </m:sSub>
              </m:oMath>
            </m:oMathPara>
          </w:p>
        </w:tc>
        <w:tc>
          <w:tcPr>
            <w:tcW w:w="1326" w:type="pct"/>
            <w:vAlign w:val="center"/>
          </w:tcPr>
          <w:p w14:paraId="19D39628" w14:textId="77777777" w:rsidR="003E553E" w:rsidRPr="00152B6B" w:rsidRDefault="003E553E" w:rsidP="00E11F60">
            <w:r w:rsidRPr="00152B6B">
              <w:rPr>
                <w:rFonts w:hint="eastAsia"/>
              </w:rPr>
              <w:t>Set as savings rate</w:t>
            </w:r>
          </w:p>
        </w:tc>
        <w:tc>
          <w:tcPr>
            <w:tcW w:w="2874" w:type="pct"/>
            <w:vAlign w:val="center"/>
          </w:tcPr>
          <w:p w14:paraId="65344D27" w14:textId="5AE9FB7B" w:rsidR="003E553E" w:rsidRPr="00152B6B" w:rsidRDefault="003E553E" w:rsidP="00F43B9E">
            <w:pPr>
              <w:rPr>
                <w:color w:val="000000" w:themeColor="text1"/>
              </w:rPr>
            </w:pPr>
            <w:r w:rsidRPr="00152B6B">
              <w:rPr>
                <w:color w:val="000000" w:themeColor="text1"/>
              </w:rPr>
              <w:fldChar w:fldCharType="begin"/>
            </w:r>
            <w:r w:rsidR="00F43B9E">
              <w:rPr>
                <w:color w:val="000000" w:themeColor="text1"/>
              </w:rPr>
              <w:instrText xml:space="preserve"> ADDIN EN.CITE &lt;EndNote&gt;&lt;Cite&gt;&lt;Author&gt;World Bank&lt;/Author&gt;&lt;Year&gt;2018&lt;/Year&gt;&lt;RecNum&gt;104&lt;/RecNum&gt;&lt;DisplayText&gt;[17]&lt;/DisplayText&gt;&lt;record&gt;&lt;rec-number&gt;104&lt;/rec-number&gt;&lt;foreign-keys&gt;&lt;key app="EN" db-id="2209pvwf8w20erevfr0vavppfap0v2zv5rww" timestamp="1508786651"&gt;104&lt;/key&gt;&lt;/foreign-keys&gt;&lt;ref-type name="Web Page"&gt;12&lt;/ref-type&gt;&lt;contributors&gt;&lt;authors&gt;&lt;author&gt;World Bank,&lt;/author&gt;&lt;/authors&gt;&lt;/contributors&gt;&lt;titles&gt;&lt;title&gt;World Bank database, gross savings (% of GDP)&lt;/title&gt;&lt;/titles&gt;&lt;volume&gt;2018&lt;/volume&gt;&lt;number&gt;March 20&lt;/number&gt;&lt;dates&gt;&lt;year&gt;2018&lt;/year&gt;&lt;/dates&gt;&lt;urls&gt;&lt;related-urls&gt;&lt;url&gt;https://data.worldbank.org/indicator/NY.GNS.ICTR.ZS&lt;/url&gt;&lt;/related-urls&gt;&lt;/urls&gt;&lt;/record&gt;&lt;/Cite&gt;&lt;/EndNote&gt;</w:instrText>
            </w:r>
            <w:r w:rsidRPr="00152B6B">
              <w:rPr>
                <w:color w:val="000000" w:themeColor="text1"/>
              </w:rPr>
              <w:fldChar w:fldCharType="separate"/>
            </w:r>
            <w:r w:rsidR="00F43B9E">
              <w:rPr>
                <w:noProof/>
                <w:color w:val="000000" w:themeColor="text1"/>
              </w:rPr>
              <w:t>[17]</w:t>
            </w:r>
            <w:r w:rsidRPr="00152B6B">
              <w:rPr>
                <w:color w:val="000000" w:themeColor="text1"/>
              </w:rPr>
              <w:fldChar w:fldCharType="end"/>
            </w:r>
          </w:p>
        </w:tc>
      </w:tr>
    </w:tbl>
    <w:p w14:paraId="7E97F0FF" w14:textId="77777777" w:rsidR="00C843EB" w:rsidRPr="00152B6B" w:rsidRDefault="00C843EB" w:rsidP="00E11F60">
      <w:pPr>
        <w:rPr>
          <w:sz w:val="22"/>
          <w:szCs w:val="22"/>
        </w:rPr>
      </w:pPr>
    </w:p>
    <w:p w14:paraId="7570F688" w14:textId="77777777" w:rsidR="008D3E68" w:rsidRDefault="008D3E68" w:rsidP="00E11F60">
      <w:pPr>
        <w:rPr>
          <w:sz w:val="21"/>
        </w:rPr>
      </w:pPr>
    </w:p>
    <w:p w14:paraId="60EA0F71" w14:textId="69AEBFBD" w:rsidR="008D3E68" w:rsidRPr="005609BF" w:rsidRDefault="00A343B3" w:rsidP="00E11F60">
      <w:pPr>
        <w:rPr>
          <w:b/>
          <w:sz w:val="36"/>
          <w:szCs w:val="36"/>
        </w:rPr>
      </w:pPr>
      <w:r w:rsidRPr="005609BF">
        <w:rPr>
          <w:b/>
          <w:sz w:val="36"/>
          <w:szCs w:val="36"/>
        </w:rPr>
        <w:t>Reference</w:t>
      </w:r>
      <w:r w:rsidR="00805455">
        <w:rPr>
          <w:b/>
          <w:sz w:val="36"/>
          <w:szCs w:val="36"/>
        </w:rPr>
        <w:t>s</w:t>
      </w:r>
    </w:p>
    <w:p w14:paraId="2653A421" w14:textId="77777777" w:rsidR="00A343B3" w:rsidRDefault="00A343B3" w:rsidP="00E11F60">
      <w:pPr>
        <w:pStyle w:val="EndNoteBibliography"/>
        <w:rPr>
          <w:sz w:val="20"/>
          <w:szCs w:val="20"/>
        </w:rPr>
      </w:pPr>
    </w:p>
    <w:p w14:paraId="70D02DCD" w14:textId="18999094" w:rsidR="00F43B9E" w:rsidRPr="00F43B9E" w:rsidRDefault="008D3E68" w:rsidP="00F43B9E">
      <w:pPr>
        <w:pStyle w:val="EndNoteBibliography"/>
        <w:rPr>
          <w:noProof/>
        </w:rPr>
      </w:pPr>
      <w:r w:rsidRPr="00694555">
        <w:rPr>
          <w:sz w:val="20"/>
          <w:szCs w:val="20"/>
        </w:rPr>
        <w:fldChar w:fldCharType="begin"/>
      </w:r>
      <w:r w:rsidRPr="00694555">
        <w:rPr>
          <w:sz w:val="20"/>
          <w:szCs w:val="20"/>
        </w:rPr>
        <w:instrText xml:space="preserve"> ADDIN EN.REFLIST </w:instrText>
      </w:r>
      <w:r w:rsidRPr="00694555">
        <w:rPr>
          <w:sz w:val="20"/>
          <w:szCs w:val="20"/>
        </w:rPr>
        <w:fldChar w:fldCharType="separate"/>
      </w:r>
      <w:r w:rsidR="00F43B9E" w:rsidRPr="00F43B9E">
        <w:rPr>
          <w:noProof/>
        </w:rPr>
        <w:t>1.</w:t>
      </w:r>
      <w:r w:rsidR="00F43B9E" w:rsidRPr="00F43B9E">
        <w:rPr>
          <w:noProof/>
        </w:rPr>
        <w:tab/>
        <w:t xml:space="preserve">Bloom DE, Chen S, Kuhn M, McGovern ME, Oxley L, Prettner K. The economic burden of chronic diseases: estimates and projections for China, Japan, and South Korea. The Journal of the Economics of Ageing. 2018. doi: </w:t>
      </w:r>
      <w:hyperlink r:id="rId8" w:history="1">
        <w:r w:rsidR="00F43B9E" w:rsidRPr="00F43B9E">
          <w:rPr>
            <w:rStyle w:val="Hyperlink"/>
            <w:noProof/>
            <w:sz w:val="24"/>
          </w:rPr>
          <w:t>https://doi.org/10.1016/j.jeoa.2018.09.002</w:t>
        </w:r>
      </w:hyperlink>
      <w:r w:rsidR="00F43B9E" w:rsidRPr="00F43B9E">
        <w:rPr>
          <w:noProof/>
        </w:rPr>
        <w:t>.</w:t>
      </w:r>
    </w:p>
    <w:p w14:paraId="4A592165" w14:textId="77777777" w:rsidR="00F43B9E" w:rsidRPr="00F43B9E" w:rsidRDefault="00F43B9E" w:rsidP="00F43B9E">
      <w:pPr>
        <w:pStyle w:val="EndNoteBibliography"/>
        <w:rPr>
          <w:noProof/>
        </w:rPr>
      </w:pPr>
      <w:r w:rsidRPr="00F43B9E">
        <w:rPr>
          <w:noProof/>
        </w:rPr>
        <w:t>2.</w:t>
      </w:r>
      <w:r w:rsidRPr="00F43B9E">
        <w:rPr>
          <w:noProof/>
        </w:rPr>
        <w:tab/>
        <w:t>Chen S, Kuhn M, Prettner K, Bloom DE. The macroeconomic burden of noncommunicable diseases in the United States: Estimates and projections. PLoS One. 2018;13(11):e0206702. doi: 10.1371/journal.pone.0206702.</w:t>
      </w:r>
    </w:p>
    <w:p w14:paraId="1E6E1888" w14:textId="77777777" w:rsidR="00F43B9E" w:rsidRPr="00F43B9E" w:rsidRDefault="00F43B9E" w:rsidP="00F43B9E">
      <w:pPr>
        <w:pStyle w:val="EndNoteBibliography"/>
        <w:rPr>
          <w:noProof/>
        </w:rPr>
      </w:pPr>
      <w:r w:rsidRPr="00F43B9E">
        <w:rPr>
          <w:noProof/>
        </w:rPr>
        <w:t>3.</w:t>
      </w:r>
      <w:r w:rsidRPr="00F43B9E">
        <w:rPr>
          <w:noProof/>
        </w:rPr>
        <w:tab/>
        <w:t>Lucas RE. On the mechanics of economic development. J Monet Econ. 1988;22(1):3-42.</w:t>
      </w:r>
    </w:p>
    <w:p w14:paraId="734B2C29" w14:textId="77777777" w:rsidR="00F43B9E" w:rsidRPr="00F43B9E" w:rsidRDefault="00F43B9E" w:rsidP="00F43B9E">
      <w:pPr>
        <w:pStyle w:val="EndNoteBibliography"/>
        <w:rPr>
          <w:noProof/>
        </w:rPr>
      </w:pPr>
      <w:r w:rsidRPr="00F43B9E">
        <w:rPr>
          <w:noProof/>
        </w:rPr>
        <w:t>4.</w:t>
      </w:r>
      <w:r w:rsidRPr="00F43B9E">
        <w:rPr>
          <w:noProof/>
        </w:rPr>
        <w:tab/>
        <w:t>Solow RM. A contribution to the theory of economic growth. The Quarterly Journal of Economics. 1956;70(1):65–94.</w:t>
      </w:r>
    </w:p>
    <w:p w14:paraId="1661A72F" w14:textId="77777777" w:rsidR="00F43B9E" w:rsidRPr="00F43B9E" w:rsidRDefault="00F43B9E" w:rsidP="00F43B9E">
      <w:pPr>
        <w:pStyle w:val="EndNoteBibliography"/>
        <w:rPr>
          <w:noProof/>
        </w:rPr>
      </w:pPr>
      <w:r w:rsidRPr="00F43B9E">
        <w:rPr>
          <w:noProof/>
        </w:rPr>
        <w:t>5.</w:t>
      </w:r>
      <w:r w:rsidRPr="00F43B9E">
        <w:rPr>
          <w:noProof/>
        </w:rPr>
        <w:tab/>
        <w:t>Mincer J. Schooling, experience, and earnings. Human Behavior &amp; Social Institutions No. 2. 261 Madison Ave., New York, New York 10016: National Bureau of Economic Research Inc.; 1974.</w:t>
      </w:r>
    </w:p>
    <w:p w14:paraId="67284200" w14:textId="77777777" w:rsidR="00F43B9E" w:rsidRPr="00F43B9E" w:rsidRDefault="00F43B9E" w:rsidP="00F43B9E">
      <w:pPr>
        <w:pStyle w:val="EndNoteBibliography"/>
        <w:rPr>
          <w:noProof/>
        </w:rPr>
      </w:pPr>
      <w:r w:rsidRPr="00F43B9E">
        <w:rPr>
          <w:noProof/>
        </w:rPr>
        <w:t>6.</w:t>
      </w:r>
      <w:r w:rsidRPr="00F43B9E">
        <w:rPr>
          <w:noProof/>
        </w:rPr>
        <w:tab/>
        <w:t xml:space="preserve">James SL, Abate D, Abate KH, Abay SM, Abbafati C, Abbasi N, et al. Global, regional, and national incidence, prevalence, and years lived with disability for 354 diseases and injuries for 195 </w:t>
      </w:r>
      <w:r w:rsidRPr="00F43B9E">
        <w:rPr>
          <w:noProof/>
        </w:rPr>
        <w:lastRenderedPageBreak/>
        <w:t>countries and territories, 1990–2017: a systematic analysis for the Global Burden of Disease Study 2017. The Lancet. 2018;392(10159):1789-858.</w:t>
      </w:r>
    </w:p>
    <w:p w14:paraId="6A3CD4AB" w14:textId="77777777" w:rsidR="00F43B9E" w:rsidRPr="00F43B9E" w:rsidRDefault="00F43B9E" w:rsidP="00F43B9E">
      <w:pPr>
        <w:pStyle w:val="EndNoteBibliography"/>
        <w:rPr>
          <w:noProof/>
        </w:rPr>
      </w:pPr>
      <w:r w:rsidRPr="00F43B9E">
        <w:rPr>
          <w:noProof/>
        </w:rPr>
        <w:t>7.</w:t>
      </w:r>
      <w:r w:rsidRPr="00F43B9E">
        <w:rPr>
          <w:noProof/>
        </w:rPr>
        <w:tab/>
        <w:t>International Diabetes Federation. IDF Diabetes Atlas 7th Edition. Brussels, Belgium: International Diabetes Federation, 2015.</w:t>
      </w:r>
    </w:p>
    <w:p w14:paraId="3158DF23" w14:textId="77777777" w:rsidR="00F43B9E" w:rsidRPr="00F43B9E" w:rsidRDefault="00F43B9E" w:rsidP="00F43B9E">
      <w:pPr>
        <w:pStyle w:val="EndNoteBibliography"/>
        <w:rPr>
          <w:noProof/>
        </w:rPr>
      </w:pPr>
      <w:r w:rsidRPr="00F43B9E">
        <w:rPr>
          <w:noProof/>
        </w:rPr>
        <w:t>8.</w:t>
      </w:r>
      <w:r w:rsidRPr="00F43B9E">
        <w:rPr>
          <w:noProof/>
        </w:rPr>
        <w:tab/>
        <w:t>Luengo-Fernandez R, Leal J, Gray A, Sullivan R. Economic burden of cancer across the European Union: a population-based cost analysis. The lancet oncology. 2013;14(12):1165-74.</w:t>
      </w:r>
    </w:p>
    <w:p w14:paraId="120248E5" w14:textId="77777777" w:rsidR="00F43B9E" w:rsidRPr="00F43B9E" w:rsidRDefault="00F43B9E" w:rsidP="00F43B9E">
      <w:pPr>
        <w:pStyle w:val="EndNoteBibliography"/>
        <w:rPr>
          <w:noProof/>
        </w:rPr>
      </w:pPr>
      <w:r w:rsidRPr="00F43B9E">
        <w:rPr>
          <w:noProof/>
        </w:rPr>
        <w:t>9.</w:t>
      </w:r>
      <w:r w:rsidRPr="00F43B9E">
        <w:rPr>
          <w:noProof/>
        </w:rPr>
        <w:tab/>
        <w:t>Dieleman JL, Baral R, Birger M, Bui AL, Bulchis A, Chapin A, et al. US spending on personal health care and public health, 1996–2013. JAMA. 2016;316(24):2627–46.</w:t>
      </w:r>
    </w:p>
    <w:p w14:paraId="2ECDA2D4" w14:textId="77777777" w:rsidR="00F43B9E" w:rsidRPr="00F43B9E" w:rsidRDefault="00F43B9E" w:rsidP="00F43B9E">
      <w:pPr>
        <w:pStyle w:val="EndNoteBibliography"/>
        <w:rPr>
          <w:noProof/>
        </w:rPr>
      </w:pPr>
      <w:r w:rsidRPr="00F43B9E">
        <w:rPr>
          <w:noProof/>
        </w:rPr>
        <w:t>10.</w:t>
      </w:r>
      <w:r w:rsidRPr="00F43B9E">
        <w:rPr>
          <w:noProof/>
        </w:rPr>
        <w:tab/>
        <w:t>Wilkins E, Wilson L, Wickramasinghe K, Bhatnagar P, Leal J, Luengo-Fernandez R, et al. European cardiovascular disease statistics 2017. 2017.</w:t>
      </w:r>
    </w:p>
    <w:p w14:paraId="04A0D7DF" w14:textId="0FD9FBB1" w:rsidR="00F43B9E" w:rsidRPr="00F43B9E" w:rsidRDefault="00F43B9E" w:rsidP="00F43B9E">
      <w:pPr>
        <w:pStyle w:val="EndNoteBibliography"/>
        <w:rPr>
          <w:noProof/>
        </w:rPr>
      </w:pPr>
      <w:r w:rsidRPr="00F43B9E">
        <w:rPr>
          <w:noProof/>
        </w:rPr>
        <w:t>11.</w:t>
      </w:r>
      <w:r w:rsidRPr="00F43B9E">
        <w:rPr>
          <w:noProof/>
        </w:rPr>
        <w:tab/>
        <w:t xml:space="preserve">World Bank. World Bank database, current health expenditure (% of GDP) Washington, DC: World Bank; 2017 [cited 2018 April 20]. Available from: </w:t>
      </w:r>
      <w:hyperlink r:id="rId9" w:history="1">
        <w:r w:rsidRPr="00F43B9E">
          <w:rPr>
            <w:rStyle w:val="Hyperlink"/>
            <w:noProof/>
            <w:sz w:val="24"/>
          </w:rPr>
          <w:t>https://data.worldbank.org/indicator/SH.XPD.CHEX.GD.ZS</w:t>
        </w:r>
      </w:hyperlink>
      <w:r w:rsidRPr="00F43B9E">
        <w:rPr>
          <w:noProof/>
        </w:rPr>
        <w:t>.</w:t>
      </w:r>
    </w:p>
    <w:p w14:paraId="7392745C" w14:textId="77777777" w:rsidR="00F43B9E" w:rsidRPr="00F43B9E" w:rsidRDefault="00F43B9E" w:rsidP="00F43B9E">
      <w:pPr>
        <w:pStyle w:val="EndNoteBibliography"/>
        <w:rPr>
          <w:noProof/>
        </w:rPr>
      </w:pPr>
      <w:r w:rsidRPr="00F43B9E">
        <w:rPr>
          <w:noProof/>
        </w:rPr>
        <w:t>12.</w:t>
      </w:r>
      <w:r w:rsidRPr="00F43B9E">
        <w:rPr>
          <w:noProof/>
        </w:rPr>
        <w:tab/>
        <w:t>Bloom DE, Cafiero E, Jané-Llopis E, Abrahams-Gessel S, Bloom L, Fathima S, et al. The global economic burden of noncommunicable diseases. Geneva, Switzerland: World Economic Forum, 2011.</w:t>
      </w:r>
    </w:p>
    <w:p w14:paraId="63384AE8" w14:textId="77777777" w:rsidR="00F43B9E" w:rsidRPr="00F43B9E" w:rsidRDefault="00F43B9E" w:rsidP="00F43B9E">
      <w:pPr>
        <w:pStyle w:val="EndNoteBibliography"/>
        <w:rPr>
          <w:noProof/>
        </w:rPr>
      </w:pPr>
      <w:r w:rsidRPr="00F43B9E">
        <w:rPr>
          <w:noProof/>
        </w:rPr>
        <w:t>13.</w:t>
      </w:r>
      <w:r w:rsidRPr="00F43B9E">
        <w:rPr>
          <w:noProof/>
        </w:rPr>
        <w:tab/>
        <w:t>Ding D, Lawson KD, Kolbe-Alexander TL, Finkelstein EA, Katzmarzyk PT, van Mechelen W, et al. The economic burden of physical inactivity: a global analysis of major non-communicable diseases. The Lancet. 2016;388(10051):1311-24.</w:t>
      </w:r>
    </w:p>
    <w:p w14:paraId="0ADA7591" w14:textId="77777777" w:rsidR="00F43B9E" w:rsidRPr="00F43B9E" w:rsidRDefault="00F43B9E" w:rsidP="00F43B9E">
      <w:pPr>
        <w:pStyle w:val="EndNoteBibliography"/>
        <w:rPr>
          <w:noProof/>
        </w:rPr>
      </w:pPr>
      <w:r w:rsidRPr="00F43B9E">
        <w:rPr>
          <w:noProof/>
        </w:rPr>
        <w:t>14.</w:t>
      </w:r>
      <w:r w:rsidRPr="00F43B9E">
        <w:rPr>
          <w:noProof/>
        </w:rPr>
        <w:tab/>
        <w:t>Feenstra RC, Inklaar R, Timmer MP. The next generation of the Penn World Table. Amer Econ Rev. 2015;105(10):3150-82.</w:t>
      </w:r>
    </w:p>
    <w:p w14:paraId="2D8FE8AB" w14:textId="77777777" w:rsidR="00F43B9E" w:rsidRPr="00F43B9E" w:rsidRDefault="00F43B9E" w:rsidP="00F43B9E">
      <w:pPr>
        <w:pStyle w:val="EndNoteBibliography"/>
        <w:rPr>
          <w:noProof/>
        </w:rPr>
      </w:pPr>
      <w:r w:rsidRPr="00F43B9E">
        <w:rPr>
          <w:noProof/>
        </w:rPr>
        <w:t>15.</w:t>
      </w:r>
      <w:r w:rsidRPr="00F43B9E">
        <w:rPr>
          <w:noProof/>
        </w:rPr>
        <w:tab/>
        <w:t>Jones CI. R&amp;D-based models of economic growth. J Polit Economy. 1995;103(4):759-84.</w:t>
      </w:r>
    </w:p>
    <w:p w14:paraId="45FFFEBC" w14:textId="77777777" w:rsidR="00F43B9E" w:rsidRPr="00F43B9E" w:rsidRDefault="00F43B9E" w:rsidP="00F43B9E">
      <w:pPr>
        <w:pStyle w:val="EndNoteBibliography"/>
        <w:rPr>
          <w:noProof/>
        </w:rPr>
      </w:pPr>
      <w:r w:rsidRPr="00F43B9E">
        <w:rPr>
          <w:noProof/>
        </w:rPr>
        <w:t>16.</w:t>
      </w:r>
      <w:r w:rsidRPr="00F43B9E">
        <w:rPr>
          <w:noProof/>
        </w:rPr>
        <w:tab/>
        <w:t>Grossmann V, Steger T, Trimborn T. Dynamically optimal R&amp;D subsidization. J Econ Dynam Control. 2013;37(3):516-34.</w:t>
      </w:r>
    </w:p>
    <w:p w14:paraId="75DFD9E2" w14:textId="5F3AECB9" w:rsidR="00F43B9E" w:rsidRPr="00F43B9E" w:rsidRDefault="00F43B9E" w:rsidP="00F43B9E">
      <w:pPr>
        <w:pStyle w:val="EndNoteBibliography"/>
        <w:rPr>
          <w:noProof/>
        </w:rPr>
      </w:pPr>
      <w:r w:rsidRPr="00F43B9E">
        <w:rPr>
          <w:noProof/>
        </w:rPr>
        <w:t>17.</w:t>
      </w:r>
      <w:r w:rsidRPr="00F43B9E">
        <w:rPr>
          <w:noProof/>
        </w:rPr>
        <w:tab/>
        <w:t xml:space="preserve">World Bank. World Bank database, gross savings (% of GDP) 2018 [cited 2018 March 20]. Available from: </w:t>
      </w:r>
      <w:hyperlink r:id="rId10" w:history="1">
        <w:r w:rsidRPr="00F43B9E">
          <w:rPr>
            <w:rStyle w:val="Hyperlink"/>
            <w:noProof/>
            <w:sz w:val="24"/>
          </w:rPr>
          <w:t>https://data.worldbank.org/indicator/NY.GNS.ICTR.ZS</w:t>
        </w:r>
      </w:hyperlink>
      <w:r w:rsidRPr="00F43B9E">
        <w:rPr>
          <w:noProof/>
        </w:rPr>
        <w:t>.</w:t>
      </w:r>
    </w:p>
    <w:p w14:paraId="2000F679" w14:textId="77777777" w:rsidR="00F43B9E" w:rsidRPr="00F43B9E" w:rsidRDefault="00F43B9E" w:rsidP="00F43B9E">
      <w:pPr>
        <w:pStyle w:val="EndNoteBibliography"/>
        <w:rPr>
          <w:noProof/>
        </w:rPr>
      </w:pPr>
      <w:r w:rsidRPr="00F43B9E">
        <w:rPr>
          <w:noProof/>
        </w:rPr>
        <w:t>18.</w:t>
      </w:r>
      <w:r w:rsidRPr="00F43B9E">
        <w:rPr>
          <w:noProof/>
        </w:rPr>
        <w:tab/>
        <w:t>Psacharopoulos G, Patrinos HA. Returns to investment in education: a decennial review of the global literature. Educ Econ. 2018:1-14.</w:t>
      </w:r>
    </w:p>
    <w:p w14:paraId="6BA99FD6" w14:textId="77777777" w:rsidR="00F43B9E" w:rsidRPr="00F43B9E" w:rsidRDefault="00F43B9E" w:rsidP="00F43B9E">
      <w:pPr>
        <w:pStyle w:val="EndNoteBibliography"/>
        <w:rPr>
          <w:noProof/>
        </w:rPr>
      </w:pPr>
      <w:r w:rsidRPr="00F43B9E">
        <w:rPr>
          <w:noProof/>
        </w:rPr>
        <w:t>19.</w:t>
      </w:r>
      <w:r w:rsidRPr="00F43B9E">
        <w:rPr>
          <w:noProof/>
        </w:rPr>
        <w:tab/>
        <w:t>Heckman JJ, Lochner LJ, Todd PE. Earnings functions, rates of return and treatment effects: The Mincer equation and beyond. Handbook of the Economics of Education. 2006;1(2006):307–458. doi: 10.1016/</w:t>
      </w:r>
      <w:bookmarkStart w:id="0" w:name="_GoBack"/>
      <w:r w:rsidRPr="00F43B9E">
        <w:rPr>
          <w:noProof/>
        </w:rPr>
        <w:t>S1</w:t>
      </w:r>
      <w:bookmarkEnd w:id="0"/>
      <w:r w:rsidRPr="00F43B9E">
        <w:rPr>
          <w:noProof/>
        </w:rPr>
        <w:t>574-0692(06)01007-5.</w:t>
      </w:r>
    </w:p>
    <w:p w14:paraId="699C6B5B" w14:textId="5FFC432B" w:rsidR="008D3E68" w:rsidRPr="008D3E68" w:rsidRDefault="008D3E68" w:rsidP="00E11F60">
      <w:r w:rsidRPr="00694555">
        <w:rPr>
          <w:sz w:val="20"/>
          <w:szCs w:val="20"/>
        </w:rPr>
        <w:fldChar w:fldCharType="end"/>
      </w:r>
    </w:p>
    <w:sectPr w:rsidR="008D3E68" w:rsidRPr="008D3E68" w:rsidSect="00860A28">
      <w:footerReference w:type="even" r:id="rId11"/>
      <w:footerReference w:type="default" r:id="rId12"/>
      <w:pgSz w:w="12240" w:h="15840"/>
      <w:pgMar w:top="1440" w:right="1440" w:bottom="1440" w:left="1440" w:header="720" w:footer="720" w:gutter="0"/>
      <w:lnNumType w:countBy="1" w:restart="continuous"/>
      <w:cols w:space="720"/>
      <w:docGrid w:linePitch="4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F91F7" w16cid:durableId="1FF6C881"/>
  <w16cid:commentId w16cid:paraId="0B5479F6" w16cid:durableId="1FF6CB8A"/>
  <w16cid:commentId w16cid:paraId="50C51D91" w16cid:durableId="1FF6CBB5"/>
  <w16cid:commentId w16cid:paraId="2971E81B" w16cid:durableId="1FF6CC35"/>
  <w16cid:commentId w16cid:paraId="25FBFD48" w16cid:durableId="1FF6CC4A"/>
  <w16cid:commentId w16cid:paraId="1A469111" w16cid:durableId="1FF6CC95"/>
  <w16cid:commentId w16cid:paraId="4204889B" w16cid:durableId="1FF6CA5C"/>
  <w16cid:commentId w16cid:paraId="79530182" w16cid:durableId="1FF6CA7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F38A9" w14:textId="77777777" w:rsidR="00082FAB" w:rsidRDefault="00082FAB" w:rsidP="00045255">
      <w:r>
        <w:separator/>
      </w:r>
    </w:p>
  </w:endnote>
  <w:endnote w:type="continuationSeparator" w:id="0">
    <w:p w14:paraId="5B128F57" w14:textId="77777777" w:rsidR="00082FAB" w:rsidRDefault="00082FAB" w:rsidP="0004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1A886" w14:textId="77777777" w:rsidR="000B7117" w:rsidRDefault="000B7117" w:rsidP="00EF6F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74A14" w14:textId="77777777" w:rsidR="000B7117" w:rsidRDefault="000B7117" w:rsidP="00B035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648D8" w14:textId="77777777" w:rsidR="000B7117" w:rsidRDefault="000B7117" w:rsidP="00EF6F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5575">
      <w:rPr>
        <w:rStyle w:val="PageNumber"/>
        <w:noProof/>
      </w:rPr>
      <w:t>2</w:t>
    </w:r>
    <w:r>
      <w:rPr>
        <w:rStyle w:val="PageNumber"/>
      </w:rPr>
      <w:fldChar w:fldCharType="end"/>
    </w:r>
  </w:p>
  <w:p w14:paraId="0E81CF31" w14:textId="77777777" w:rsidR="000B7117" w:rsidRDefault="000B7117" w:rsidP="00B035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34C68" w14:textId="77777777" w:rsidR="00082FAB" w:rsidRDefault="00082FAB" w:rsidP="00045255">
      <w:r>
        <w:separator/>
      </w:r>
    </w:p>
  </w:footnote>
  <w:footnote w:type="continuationSeparator" w:id="0">
    <w:p w14:paraId="421875A7" w14:textId="77777777" w:rsidR="00082FAB" w:rsidRDefault="00082FAB" w:rsidP="000452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4A4F"/>
    <w:multiLevelType w:val="hybridMultilevel"/>
    <w:tmpl w:val="AE16F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65002"/>
    <w:multiLevelType w:val="hybridMultilevel"/>
    <w:tmpl w:val="AE16F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D3DEF"/>
    <w:multiLevelType w:val="hybridMultilevel"/>
    <w:tmpl w:val="AE16F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E3E39"/>
    <w:multiLevelType w:val="hybridMultilevel"/>
    <w:tmpl w:val="AE16F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0A504D"/>
    <w:multiLevelType w:val="hybridMultilevel"/>
    <w:tmpl w:val="BFE42A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6843D04"/>
    <w:multiLevelType w:val="hybridMultilevel"/>
    <w:tmpl w:val="AE16F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20CC2"/>
    <w:multiLevelType w:val="hybridMultilevel"/>
    <w:tmpl w:val="300CB4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D1D7601"/>
    <w:multiLevelType w:val="hybridMultilevel"/>
    <w:tmpl w:val="AE16F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09pvwf8w20erevfr0vavppfap0v2zv5rww&quot;&gt;SC Library&lt;record-ids&gt;&lt;item&gt;104&lt;/item&gt;&lt;item&gt;105&lt;/item&gt;&lt;item&gt;106&lt;/item&gt;&lt;item&gt;126&lt;/item&gt;&lt;item&gt;127&lt;/item&gt;&lt;item&gt;141&lt;/item&gt;&lt;item&gt;281&lt;/item&gt;&lt;item&gt;290&lt;/item&gt;&lt;item&gt;298&lt;/item&gt;&lt;item&gt;582&lt;/item&gt;&lt;item&gt;584&lt;/item&gt;&lt;item&gt;753&lt;/item&gt;&lt;item&gt;778&lt;/item&gt;&lt;item&gt;779&lt;/item&gt;&lt;item&gt;781&lt;/item&gt;&lt;item&gt;910&lt;/item&gt;&lt;item&gt;965&lt;/item&gt;&lt;item&gt;967&lt;/item&gt;&lt;item&gt;968&lt;/item&gt;&lt;/record-ids&gt;&lt;/item&gt;&lt;/Libraries&gt;"/>
  </w:docVars>
  <w:rsids>
    <w:rsidRoot w:val="002367D2"/>
    <w:rsid w:val="000033CF"/>
    <w:rsid w:val="00007EE9"/>
    <w:rsid w:val="00016EF7"/>
    <w:rsid w:val="00025F34"/>
    <w:rsid w:val="00045255"/>
    <w:rsid w:val="00054049"/>
    <w:rsid w:val="00057516"/>
    <w:rsid w:val="00082FAB"/>
    <w:rsid w:val="00085475"/>
    <w:rsid w:val="000A3BEC"/>
    <w:rsid w:val="000B7117"/>
    <w:rsid w:val="000D143E"/>
    <w:rsid w:val="000D23E5"/>
    <w:rsid w:val="00100BAD"/>
    <w:rsid w:val="001035B1"/>
    <w:rsid w:val="00117562"/>
    <w:rsid w:val="0013488A"/>
    <w:rsid w:val="00152B6B"/>
    <w:rsid w:val="0019422B"/>
    <w:rsid w:val="001B0D73"/>
    <w:rsid w:val="001E3371"/>
    <w:rsid w:val="001F1C76"/>
    <w:rsid w:val="002350F5"/>
    <w:rsid w:val="002367D2"/>
    <w:rsid w:val="0026365E"/>
    <w:rsid w:val="00274585"/>
    <w:rsid w:val="00282EC6"/>
    <w:rsid w:val="00283FAC"/>
    <w:rsid w:val="002908A9"/>
    <w:rsid w:val="002B2161"/>
    <w:rsid w:val="002D19AD"/>
    <w:rsid w:val="002D2ED7"/>
    <w:rsid w:val="002D7BE3"/>
    <w:rsid w:val="002E71C6"/>
    <w:rsid w:val="003444ED"/>
    <w:rsid w:val="0035295E"/>
    <w:rsid w:val="00356613"/>
    <w:rsid w:val="00363D55"/>
    <w:rsid w:val="00396138"/>
    <w:rsid w:val="003A62E3"/>
    <w:rsid w:val="003A773B"/>
    <w:rsid w:val="003B0AB9"/>
    <w:rsid w:val="003B1949"/>
    <w:rsid w:val="003C5EE1"/>
    <w:rsid w:val="003C750E"/>
    <w:rsid w:val="003E553E"/>
    <w:rsid w:val="00444656"/>
    <w:rsid w:val="00445575"/>
    <w:rsid w:val="004544D0"/>
    <w:rsid w:val="004569EE"/>
    <w:rsid w:val="00461440"/>
    <w:rsid w:val="00463770"/>
    <w:rsid w:val="00475F15"/>
    <w:rsid w:val="00496ABB"/>
    <w:rsid w:val="0051749E"/>
    <w:rsid w:val="00530398"/>
    <w:rsid w:val="00531D40"/>
    <w:rsid w:val="00543959"/>
    <w:rsid w:val="00550B97"/>
    <w:rsid w:val="0055389A"/>
    <w:rsid w:val="00555A6A"/>
    <w:rsid w:val="005609BF"/>
    <w:rsid w:val="00564996"/>
    <w:rsid w:val="00582C1B"/>
    <w:rsid w:val="0058721E"/>
    <w:rsid w:val="005B311F"/>
    <w:rsid w:val="005C1CE1"/>
    <w:rsid w:val="005D1558"/>
    <w:rsid w:val="00601090"/>
    <w:rsid w:val="00602879"/>
    <w:rsid w:val="00603AF6"/>
    <w:rsid w:val="006232DE"/>
    <w:rsid w:val="0062646C"/>
    <w:rsid w:val="0063264B"/>
    <w:rsid w:val="00632ABC"/>
    <w:rsid w:val="00634F6E"/>
    <w:rsid w:val="006355A0"/>
    <w:rsid w:val="00667C3B"/>
    <w:rsid w:val="006777E4"/>
    <w:rsid w:val="00685397"/>
    <w:rsid w:val="00691701"/>
    <w:rsid w:val="00694555"/>
    <w:rsid w:val="006C1364"/>
    <w:rsid w:val="006C2312"/>
    <w:rsid w:val="00701212"/>
    <w:rsid w:val="007048EC"/>
    <w:rsid w:val="007178A0"/>
    <w:rsid w:val="00723F74"/>
    <w:rsid w:val="00741D7E"/>
    <w:rsid w:val="0075533B"/>
    <w:rsid w:val="00761A55"/>
    <w:rsid w:val="00764E9F"/>
    <w:rsid w:val="007656AE"/>
    <w:rsid w:val="0077264C"/>
    <w:rsid w:val="00776B69"/>
    <w:rsid w:val="00791D97"/>
    <w:rsid w:val="007C09D6"/>
    <w:rsid w:val="00805455"/>
    <w:rsid w:val="00805FA9"/>
    <w:rsid w:val="00807238"/>
    <w:rsid w:val="00860A28"/>
    <w:rsid w:val="00875361"/>
    <w:rsid w:val="00883408"/>
    <w:rsid w:val="008925B0"/>
    <w:rsid w:val="008B4445"/>
    <w:rsid w:val="008C6EE9"/>
    <w:rsid w:val="008D0994"/>
    <w:rsid w:val="008D3E68"/>
    <w:rsid w:val="008F1251"/>
    <w:rsid w:val="00903273"/>
    <w:rsid w:val="00933389"/>
    <w:rsid w:val="00945514"/>
    <w:rsid w:val="009576B7"/>
    <w:rsid w:val="00966824"/>
    <w:rsid w:val="009753E4"/>
    <w:rsid w:val="0099460F"/>
    <w:rsid w:val="009B0861"/>
    <w:rsid w:val="009C097E"/>
    <w:rsid w:val="009C2167"/>
    <w:rsid w:val="009C7240"/>
    <w:rsid w:val="00A006A6"/>
    <w:rsid w:val="00A133F7"/>
    <w:rsid w:val="00A21ABC"/>
    <w:rsid w:val="00A267EA"/>
    <w:rsid w:val="00A33B26"/>
    <w:rsid w:val="00A343B3"/>
    <w:rsid w:val="00A35B92"/>
    <w:rsid w:val="00A43729"/>
    <w:rsid w:val="00A65996"/>
    <w:rsid w:val="00A66253"/>
    <w:rsid w:val="00A66638"/>
    <w:rsid w:val="00A6683B"/>
    <w:rsid w:val="00A7012F"/>
    <w:rsid w:val="00A71238"/>
    <w:rsid w:val="00AB3F98"/>
    <w:rsid w:val="00AD6036"/>
    <w:rsid w:val="00B01EA1"/>
    <w:rsid w:val="00B0359A"/>
    <w:rsid w:val="00B0633B"/>
    <w:rsid w:val="00B21B08"/>
    <w:rsid w:val="00B24202"/>
    <w:rsid w:val="00B26A2F"/>
    <w:rsid w:val="00B54265"/>
    <w:rsid w:val="00B66906"/>
    <w:rsid w:val="00B7366E"/>
    <w:rsid w:val="00BE5540"/>
    <w:rsid w:val="00C00742"/>
    <w:rsid w:val="00C1044D"/>
    <w:rsid w:val="00C13E83"/>
    <w:rsid w:val="00C213FF"/>
    <w:rsid w:val="00C35DFB"/>
    <w:rsid w:val="00C517A4"/>
    <w:rsid w:val="00C5240C"/>
    <w:rsid w:val="00C62CAA"/>
    <w:rsid w:val="00C6708C"/>
    <w:rsid w:val="00C80A89"/>
    <w:rsid w:val="00C82B26"/>
    <w:rsid w:val="00C843EB"/>
    <w:rsid w:val="00C9058A"/>
    <w:rsid w:val="00C916A7"/>
    <w:rsid w:val="00C92F12"/>
    <w:rsid w:val="00CA6402"/>
    <w:rsid w:val="00D10132"/>
    <w:rsid w:val="00D33E9D"/>
    <w:rsid w:val="00D37E4F"/>
    <w:rsid w:val="00D47093"/>
    <w:rsid w:val="00D61FC8"/>
    <w:rsid w:val="00D62863"/>
    <w:rsid w:val="00D63F6D"/>
    <w:rsid w:val="00D71655"/>
    <w:rsid w:val="00D87878"/>
    <w:rsid w:val="00DA0473"/>
    <w:rsid w:val="00DB0572"/>
    <w:rsid w:val="00DF3E4D"/>
    <w:rsid w:val="00E03B46"/>
    <w:rsid w:val="00E11F60"/>
    <w:rsid w:val="00E4111D"/>
    <w:rsid w:val="00E43D01"/>
    <w:rsid w:val="00E54CFF"/>
    <w:rsid w:val="00E6765E"/>
    <w:rsid w:val="00E7139D"/>
    <w:rsid w:val="00E72CDC"/>
    <w:rsid w:val="00E8756F"/>
    <w:rsid w:val="00EA2BB1"/>
    <w:rsid w:val="00EA48DE"/>
    <w:rsid w:val="00EE6F94"/>
    <w:rsid w:val="00EF2982"/>
    <w:rsid w:val="00EF6F56"/>
    <w:rsid w:val="00F0093F"/>
    <w:rsid w:val="00F225CC"/>
    <w:rsid w:val="00F308C7"/>
    <w:rsid w:val="00F433DA"/>
    <w:rsid w:val="00F43B9E"/>
    <w:rsid w:val="00F51A57"/>
    <w:rsid w:val="00F6731B"/>
    <w:rsid w:val="00F71725"/>
    <w:rsid w:val="00F971A7"/>
    <w:rsid w:val="00FA5AAD"/>
    <w:rsid w:val="00FC3728"/>
    <w:rsid w:val="00FD1126"/>
    <w:rsid w:val="00FD1990"/>
    <w:rsid w:val="00FD48B8"/>
    <w:rsid w:val="00FE1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D733"/>
  <w14:defaultImageDpi w14:val="32767"/>
  <w15:docId w15:val="{D3543898-4DD0-4F74-A422-4990B2D1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67D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67D2"/>
    <w:pPr>
      <w:ind w:left="720"/>
      <w:contextualSpacing/>
    </w:pPr>
    <w:rPr>
      <w:rFonts w:asciiTheme="minorHAnsi" w:hAnsiTheme="minorHAnsi" w:cstheme="minorBidi"/>
      <w:lang w:eastAsia="en-US"/>
    </w:rPr>
  </w:style>
  <w:style w:type="character" w:styleId="CommentReference">
    <w:name w:val="annotation reference"/>
    <w:basedOn w:val="DefaultParagraphFont"/>
    <w:uiPriority w:val="99"/>
    <w:semiHidden/>
    <w:unhideWhenUsed/>
    <w:rsid w:val="0055389A"/>
    <w:rPr>
      <w:sz w:val="18"/>
      <w:szCs w:val="18"/>
    </w:rPr>
  </w:style>
  <w:style w:type="paragraph" w:styleId="CommentText">
    <w:name w:val="annotation text"/>
    <w:basedOn w:val="Normal"/>
    <w:link w:val="CommentTextChar"/>
    <w:uiPriority w:val="99"/>
    <w:semiHidden/>
    <w:unhideWhenUsed/>
    <w:rsid w:val="0055389A"/>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55389A"/>
    <w:rPr>
      <w:lang w:eastAsia="en-US"/>
    </w:rPr>
  </w:style>
  <w:style w:type="paragraph" w:styleId="BalloonText">
    <w:name w:val="Balloon Text"/>
    <w:basedOn w:val="Normal"/>
    <w:link w:val="BalloonTextChar"/>
    <w:uiPriority w:val="99"/>
    <w:semiHidden/>
    <w:unhideWhenUsed/>
    <w:rsid w:val="0055389A"/>
    <w:rPr>
      <w:sz w:val="18"/>
      <w:szCs w:val="18"/>
    </w:rPr>
  </w:style>
  <w:style w:type="character" w:customStyle="1" w:styleId="BalloonTextChar">
    <w:name w:val="Balloon Text Char"/>
    <w:basedOn w:val="DefaultParagraphFont"/>
    <w:link w:val="BalloonText"/>
    <w:uiPriority w:val="99"/>
    <w:semiHidden/>
    <w:rsid w:val="0055389A"/>
    <w:rPr>
      <w:rFonts w:ascii="Times New Roman" w:hAnsi="Times New Roman" w:cs="Times New Roman"/>
      <w:sz w:val="18"/>
      <w:szCs w:val="18"/>
    </w:rPr>
  </w:style>
  <w:style w:type="character" w:customStyle="1" w:styleId="st">
    <w:name w:val="st"/>
    <w:basedOn w:val="DefaultParagraphFont"/>
    <w:rsid w:val="00A66638"/>
  </w:style>
  <w:style w:type="paragraph" w:styleId="FootnoteText">
    <w:name w:val="footnote text"/>
    <w:basedOn w:val="Normal"/>
    <w:link w:val="FootnoteTextChar"/>
    <w:uiPriority w:val="99"/>
    <w:unhideWhenUsed/>
    <w:rsid w:val="00045255"/>
    <w:rPr>
      <w:lang w:eastAsia="en-US"/>
    </w:rPr>
  </w:style>
  <w:style w:type="character" w:customStyle="1" w:styleId="FootnoteTextChar">
    <w:name w:val="Footnote Text Char"/>
    <w:basedOn w:val="DefaultParagraphFont"/>
    <w:link w:val="FootnoteText"/>
    <w:uiPriority w:val="99"/>
    <w:rsid w:val="00045255"/>
    <w:rPr>
      <w:rFonts w:ascii="Times New Roman" w:hAnsi="Times New Roman" w:cs="Times New Roman"/>
      <w:lang w:eastAsia="en-US"/>
    </w:rPr>
  </w:style>
  <w:style w:type="character" w:styleId="FootnoteReference">
    <w:name w:val="footnote reference"/>
    <w:basedOn w:val="DefaultParagraphFont"/>
    <w:uiPriority w:val="99"/>
    <w:unhideWhenUsed/>
    <w:rsid w:val="00045255"/>
    <w:rPr>
      <w:vertAlign w:val="superscript"/>
    </w:rPr>
  </w:style>
  <w:style w:type="table" w:customStyle="1" w:styleId="PlainTable21">
    <w:name w:val="Plain Table 21"/>
    <w:basedOn w:val="TableNormal"/>
    <w:uiPriority w:val="42"/>
    <w:rsid w:val="00085475"/>
    <w:rPr>
      <w:rFonts w:ascii="Times New Roman" w:hAnsi="Times New Roman" w:cs="Times New Roman"/>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rsid w:val="00C843EB"/>
    <w:pPr>
      <w:jc w:val="center"/>
    </w:pPr>
    <w:rPr>
      <w:sz w:val="22"/>
    </w:rPr>
  </w:style>
  <w:style w:type="paragraph" w:customStyle="1" w:styleId="EndNoteBibliography">
    <w:name w:val="EndNote Bibliography"/>
    <w:basedOn w:val="Normal"/>
    <w:rsid w:val="00C843EB"/>
    <w:rPr>
      <w:sz w:val="22"/>
    </w:rPr>
  </w:style>
  <w:style w:type="character" w:styleId="Hyperlink">
    <w:name w:val="Hyperlink"/>
    <w:basedOn w:val="DefaultParagraphFont"/>
    <w:uiPriority w:val="99"/>
    <w:unhideWhenUsed/>
    <w:rsid w:val="00C843EB"/>
    <w:rPr>
      <w:color w:val="0563C1" w:themeColor="hyperlink"/>
      <w:u w:val="single"/>
    </w:rPr>
  </w:style>
  <w:style w:type="paragraph" w:styleId="Footer">
    <w:name w:val="footer"/>
    <w:basedOn w:val="Normal"/>
    <w:link w:val="FooterChar"/>
    <w:uiPriority w:val="99"/>
    <w:unhideWhenUsed/>
    <w:rsid w:val="00531D40"/>
    <w:pPr>
      <w:tabs>
        <w:tab w:val="center" w:pos="4680"/>
        <w:tab w:val="right" w:pos="9360"/>
      </w:tabs>
    </w:pPr>
  </w:style>
  <w:style w:type="character" w:customStyle="1" w:styleId="FooterChar">
    <w:name w:val="Footer Char"/>
    <w:basedOn w:val="DefaultParagraphFont"/>
    <w:link w:val="Footer"/>
    <w:uiPriority w:val="99"/>
    <w:rsid w:val="00531D40"/>
    <w:rPr>
      <w:rFonts w:ascii="Times New Roman" w:hAnsi="Times New Roman" w:cs="Times New Roman"/>
    </w:rPr>
  </w:style>
  <w:style w:type="character" w:styleId="PageNumber">
    <w:name w:val="page number"/>
    <w:basedOn w:val="DefaultParagraphFont"/>
    <w:uiPriority w:val="99"/>
    <w:semiHidden/>
    <w:unhideWhenUsed/>
    <w:rsid w:val="00531D40"/>
  </w:style>
  <w:style w:type="character" w:styleId="LineNumber">
    <w:name w:val="line number"/>
    <w:basedOn w:val="DefaultParagraphFont"/>
    <w:uiPriority w:val="99"/>
    <w:semiHidden/>
    <w:unhideWhenUsed/>
    <w:rsid w:val="00860A28"/>
  </w:style>
  <w:style w:type="paragraph" w:styleId="CommentSubject">
    <w:name w:val="annotation subject"/>
    <w:basedOn w:val="CommentText"/>
    <w:next w:val="CommentText"/>
    <w:link w:val="CommentSubjectChar"/>
    <w:uiPriority w:val="99"/>
    <w:semiHidden/>
    <w:unhideWhenUsed/>
    <w:rsid w:val="00EA2BB1"/>
    <w:rPr>
      <w:rFonts w:ascii="Times New Roman" w:hAnsi="Times New Roman" w:cs="Times New Roman"/>
      <w:b/>
      <w:bCs/>
      <w:sz w:val="20"/>
      <w:szCs w:val="20"/>
      <w:lang w:eastAsia="zh-CN"/>
    </w:rPr>
  </w:style>
  <w:style w:type="character" w:customStyle="1" w:styleId="CommentSubjectChar">
    <w:name w:val="Comment Subject Char"/>
    <w:basedOn w:val="CommentTextChar"/>
    <w:link w:val="CommentSubject"/>
    <w:uiPriority w:val="99"/>
    <w:semiHidden/>
    <w:rsid w:val="00EA2BB1"/>
    <w:rPr>
      <w:rFonts w:ascii="Times New Roman" w:hAnsi="Times New Roman" w:cs="Times New Roman"/>
      <w:b/>
      <w:bCs/>
      <w:sz w:val="20"/>
      <w:szCs w:val="20"/>
      <w:lang w:eastAsia="en-US"/>
    </w:rPr>
  </w:style>
  <w:style w:type="paragraph" w:styleId="Revision">
    <w:name w:val="Revision"/>
    <w:hidden/>
    <w:uiPriority w:val="99"/>
    <w:semiHidden/>
    <w:rsid w:val="003A62E3"/>
    <w:rPr>
      <w:rFonts w:ascii="Times New Roman" w:hAnsi="Times New Roman" w:cs="Times New Roman"/>
    </w:rPr>
  </w:style>
  <w:style w:type="paragraph" w:styleId="NormalWeb">
    <w:name w:val="Normal (Web)"/>
    <w:basedOn w:val="Normal"/>
    <w:uiPriority w:val="99"/>
    <w:unhideWhenUsed/>
    <w:rsid w:val="00282EC6"/>
    <w:pPr>
      <w:spacing w:before="100" w:beforeAutospacing="1" w:after="100" w:afterAutospacing="1"/>
    </w:pPr>
    <w:rPr>
      <w:rFonts w:eastAsia="Times New Roman"/>
    </w:rPr>
  </w:style>
  <w:style w:type="character" w:customStyle="1" w:styleId="ListParagraphChar">
    <w:name w:val="List Paragraph Char"/>
    <w:basedOn w:val="DefaultParagraphFont"/>
    <w:link w:val="ListParagraph"/>
    <w:uiPriority w:val="34"/>
    <w:rsid w:val="00FA5A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4100">
      <w:bodyDiv w:val="1"/>
      <w:marLeft w:val="0"/>
      <w:marRight w:val="0"/>
      <w:marTop w:val="0"/>
      <w:marBottom w:val="0"/>
      <w:divBdr>
        <w:top w:val="none" w:sz="0" w:space="0" w:color="auto"/>
        <w:left w:val="none" w:sz="0" w:space="0" w:color="auto"/>
        <w:bottom w:val="none" w:sz="0" w:space="0" w:color="auto"/>
        <w:right w:val="none" w:sz="0" w:space="0" w:color="auto"/>
      </w:divBdr>
    </w:div>
    <w:div w:id="334575800">
      <w:bodyDiv w:val="1"/>
      <w:marLeft w:val="0"/>
      <w:marRight w:val="0"/>
      <w:marTop w:val="0"/>
      <w:marBottom w:val="0"/>
      <w:divBdr>
        <w:top w:val="none" w:sz="0" w:space="0" w:color="auto"/>
        <w:left w:val="none" w:sz="0" w:space="0" w:color="auto"/>
        <w:bottom w:val="none" w:sz="0" w:space="0" w:color="auto"/>
        <w:right w:val="none" w:sz="0" w:space="0" w:color="auto"/>
      </w:divBdr>
      <w:divsChild>
        <w:div w:id="345789606">
          <w:marLeft w:val="0"/>
          <w:marRight w:val="0"/>
          <w:marTop w:val="0"/>
          <w:marBottom w:val="0"/>
          <w:divBdr>
            <w:top w:val="none" w:sz="0" w:space="0" w:color="auto"/>
            <w:left w:val="none" w:sz="0" w:space="0" w:color="auto"/>
            <w:bottom w:val="none" w:sz="0" w:space="0" w:color="auto"/>
            <w:right w:val="none" w:sz="0" w:space="0" w:color="auto"/>
          </w:divBdr>
          <w:divsChild>
            <w:div w:id="574970950">
              <w:marLeft w:val="0"/>
              <w:marRight w:val="0"/>
              <w:marTop w:val="0"/>
              <w:marBottom w:val="0"/>
              <w:divBdr>
                <w:top w:val="none" w:sz="0" w:space="0" w:color="auto"/>
                <w:left w:val="none" w:sz="0" w:space="0" w:color="auto"/>
                <w:bottom w:val="none" w:sz="0" w:space="0" w:color="auto"/>
                <w:right w:val="none" w:sz="0" w:space="0" w:color="auto"/>
              </w:divBdr>
              <w:divsChild>
                <w:div w:id="2051419540">
                  <w:marLeft w:val="0"/>
                  <w:marRight w:val="0"/>
                  <w:marTop w:val="0"/>
                  <w:marBottom w:val="0"/>
                  <w:divBdr>
                    <w:top w:val="none" w:sz="0" w:space="0" w:color="auto"/>
                    <w:left w:val="none" w:sz="0" w:space="0" w:color="auto"/>
                    <w:bottom w:val="none" w:sz="0" w:space="0" w:color="auto"/>
                    <w:right w:val="none" w:sz="0" w:space="0" w:color="auto"/>
                  </w:divBdr>
                  <w:divsChild>
                    <w:div w:id="2467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41303">
      <w:bodyDiv w:val="1"/>
      <w:marLeft w:val="0"/>
      <w:marRight w:val="0"/>
      <w:marTop w:val="0"/>
      <w:marBottom w:val="0"/>
      <w:divBdr>
        <w:top w:val="none" w:sz="0" w:space="0" w:color="auto"/>
        <w:left w:val="none" w:sz="0" w:space="0" w:color="auto"/>
        <w:bottom w:val="none" w:sz="0" w:space="0" w:color="auto"/>
        <w:right w:val="none" w:sz="0" w:space="0" w:color="auto"/>
      </w:divBdr>
    </w:div>
    <w:div w:id="855194986">
      <w:bodyDiv w:val="1"/>
      <w:marLeft w:val="0"/>
      <w:marRight w:val="0"/>
      <w:marTop w:val="0"/>
      <w:marBottom w:val="0"/>
      <w:divBdr>
        <w:top w:val="none" w:sz="0" w:space="0" w:color="auto"/>
        <w:left w:val="none" w:sz="0" w:space="0" w:color="auto"/>
        <w:bottom w:val="none" w:sz="0" w:space="0" w:color="auto"/>
        <w:right w:val="none" w:sz="0" w:space="0" w:color="auto"/>
      </w:divBdr>
    </w:div>
    <w:div w:id="997154578">
      <w:bodyDiv w:val="1"/>
      <w:marLeft w:val="0"/>
      <w:marRight w:val="0"/>
      <w:marTop w:val="0"/>
      <w:marBottom w:val="0"/>
      <w:divBdr>
        <w:top w:val="none" w:sz="0" w:space="0" w:color="auto"/>
        <w:left w:val="none" w:sz="0" w:space="0" w:color="auto"/>
        <w:bottom w:val="none" w:sz="0" w:space="0" w:color="auto"/>
        <w:right w:val="none" w:sz="0" w:space="0" w:color="auto"/>
      </w:divBdr>
      <w:divsChild>
        <w:div w:id="2107727890">
          <w:marLeft w:val="0"/>
          <w:marRight w:val="0"/>
          <w:marTop w:val="0"/>
          <w:marBottom w:val="0"/>
          <w:divBdr>
            <w:top w:val="none" w:sz="0" w:space="0" w:color="auto"/>
            <w:left w:val="none" w:sz="0" w:space="0" w:color="auto"/>
            <w:bottom w:val="none" w:sz="0" w:space="0" w:color="auto"/>
            <w:right w:val="none" w:sz="0" w:space="0" w:color="auto"/>
          </w:divBdr>
          <w:divsChild>
            <w:div w:id="863792099">
              <w:marLeft w:val="0"/>
              <w:marRight w:val="0"/>
              <w:marTop w:val="0"/>
              <w:marBottom w:val="0"/>
              <w:divBdr>
                <w:top w:val="none" w:sz="0" w:space="0" w:color="auto"/>
                <w:left w:val="none" w:sz="0" w:space="0" w:color="auto"/>
                <w:bottom w:val="none" w:sz="0" w:space="0" w:color="auto"/>
                <w:right w:val="none" w:sz="0" w:space="0" w:color="auto"/>
              </w:divBdr>
              <w:divsChild>
                <w:div w:id="9586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6940">
      <w:bodyDiv w:val="1"/>
      <w:marLeft w:val="0"/>
      <w:marRight w:val="0"/>
      <w:marTop w:val="0"/>
      <w:marBottom w:val="0"/>
      <w:divBdr>
        <w:top w:val="none" w:sz="0" w:space="0" w:color="auto"/>
        <w:left w:val="none" w:sz="0" w:space="0" w:color="auto"/>
        <w:bottom w:val="none" w:sz="0" w:space="0" w:color="auto"/>
        <w:right w:val="none" w:sz="0" w:space="0" w:color="auto"/>
      </w:divBdr>
      <w:divsChild>
        <w:div w:id="1444882787">
          <w:marLeft w:val="0"/>
          <w:marRight w:val="0"/>
          <w:marTop w:val="0"/>
          <w:marBottom w:val="0"/>
          <w:divBdr>
            <w:top w:val="none" w:sz="0" w:space="0" w:color="auto"/>
            <w:left w:val="none" w:sz="0" w:space="0" w:color="auto"/>
            <w:bottom w:val="none" w:sz="0" w:space="0" w:color="auto"/>
            <w:right w:val="none" w:sz="0" w:space="0" w:color="auto"/>
          </w:divBdr>
          <w:divsChild>
            <w:div w:id="1937904800">
              <w:marLeft w:val="0"/>
              <w:marRight w:val="0"/>
              <w:marTop w:val="0"/>
              <w:marBottom w:val="0"/>
              <w:divBdr>
                <w:top w:val="none" w:sz="0" w:space="0" w:color="auto"/>
                <w:left w:val="none" w:sz="0" w:space="0" w:color="auto"/>
                <w:bottom w:val="none" w:sz="0" w:space="0" w:color="auto"/>
                <w:right w:val="none" w:sz="0" w:space="0" w:color="auto"/>
              </w:divBdr>
              <w:divsChild>
                <w:div w:id="5830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016/j.jeoa.2018.09.002" TargetMode="External"/><Relationship Id="rId9" Type="http://schemas.openxmlformats.org/officeDocument/2006/relationships/hyperlink" Target="https://data.worldbank.org/indicator/SH.XPD.CHEX.GD.ZS" TargetMode="External"/><Relationship Id="rId10" Type="http://schemas.openxmlformats.org/officeDocument/2006/relationships/hyperlink" Target="https://data.worldbank.org/indicator/NY.GNS.ICTR.Z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CC6E5-835A-A048-A0D7-EE223265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6323</Words>
  <Characters>36044</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Simiao Chen</dc:creator>
  <cp:lastModifiedBy>Simiao Chen</cp:lastModifiedBy>
  <cp:revision>7</cp:revision>
  <dcterms:created xsi:type="dcterms:W3CDTF">2019-01-30T13:45:00Z</dcterms:created>
  <dcterms:modified xsi:type="dcterms:W3CDTF">2019-04-09T15:06:00Z</dcterms:modified>
</cp:coreProperties>
</file>