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B3" w:rsidRPr="00980887" w:rsidRDefault="00980887" w:rsidP="00980887">
      <w:pPr>
        <w:pStyle w:val="Balk1"/>
        <w:rPr>
          <w:rFonts w:ascii="Times New Roman" w:hAnsi="Times New Roman" w:cs="Times New Roman"/>
          <w:color w:val="auto"/>
          <w:sz w:val="36"/>
          <w:szCs w:val="36"/>
        </w:rPr>
      </w:pPr>
      <w:proofErr w:type="gramStart"/>
      <w:r w:rsidRPr="00980887">
        <w:rPr>
          <w:rFonts w:ascii="Times New Roman" w:hAnsi="Times New Roman" w:cs="Times New Roman"/>
          <w:color w:val="auto"/>
          <w:sz w:val="36"/>
          <w:szCs w:val="36"/>
        </w:rPr>
        <w:t>S3 File</w:t>
      </w:r>
      <w:r w:rsidR="005630B3" w:rsidRPr="00980887">
        <w:rPr>
          <w:rFonts w:ascii="Times New Roman" w:hAnsi="Times New Roman" w:cs="Times New Roman"/>
          <w:color w:val="auto"/>
          <w:sz w:val="36"/>
          <w:szCs w:val="36"/>
        </w:rPr>
        <w:t>.</w:t>
      </w:r>
      <w:proofErr w:type="gramEnd"/>
      <w:r w:rsidR="005630B3" w:rsidRPr="00980887">
        <w:rPr>
          <w:rFonts w:ascii="Times New Roman" w:hAnsi="Times New Roman" w:cs="Times New Roman"/>
          <w:color w:val="auto"/>
          <w:sz w:val="36"/>
          <w:szCs w:val="36"/>
        </w:rPr>
        <w:t xml:space="preserve"> Testing of Alternative Mod</w:t>
      </w:r>
      <w:bookmarkStart w:id="0" w:name="_GoBack"/>
      <w:bookmarkEnd w:id="0"/>
      <w:r w:rsidR="005630B3" w:rsidRPr="00980887">
        <w:rPr>
          <w:rFonts w:ascii="Times New Roman" w:hAnsi="Times New Roman" w:cs="Times New Roman"/>
          <w:color w:val="auto"/>
          <w:sz w:val="36"/>
          <w:szCs w:val="36"/>
        </w:rPr>
        <w:t>els and Reverse Causality</w:t>
      </w:r>
    </w:p>
    <w:p w:rsidR="005630B3" w:rsidRPr="00FB5B28" w:rsidRDefault="005630B3" w:rsidP="005630B3">
      <w:pPr>
        <w:ind w:firstLine="708"/>
        <w:rPr>
          <w:rFonts w:ascii="Times New Roman" w:hAnsi="Times New Roman"/>
          <w:sz w:val="24"/>
          <w:szCs w:val="24"/>
          <w:lang w:eastAsia="tr-TR"/>
        </w:rPr>
      </w:pPr>
      <w:r w:rsidRPr="00FB5B28">
        <w:rPr>
          <w:rFonts w:ascii="Times New Roman" w:hAnsi="Times New Roman"/>
          <w:sz w:val="24"/>
          <w:szCs w:val="24"/>
          <w:lang w:eastAsia="tr-TR"/>
        </w:rPr>
        <w:t xml:space="preserve">Structural Equation Models (SEM) in </w:t>
      </w:r>
      <w:proofErr w:type="gramStart"/>
      <w:r w:rsidRPr="00FB5B28">
        <w:rPr>
          <w:rFonts w:ascii="Times New Roman" w:hAnsi="Times New Roman"/>
          <w:sz w:val="24"/>
          <w:szCs w:val="24"/>
          <w:lang w:eastAsia="tr-TR"/>
        </w:rPr>
        <w:t>general,</w:t>
      </w:r>
      <w:proofErr w:type="gramEnd"/>
      <w:r w:rsidRPr="00FB5B28">
        <w:rPr>
          <w:rFonts w:ascii="Times New Roman" w:hAnsi="Times New Roman"/>
          <w:sz w:val="24"/>
          <w:szCs w:val="24"/>
          <w:lang w:eastAsia="tr-TR"/>
        </w:rPr>
        <w:t xml:space="preserve"> and path analyses in particular, are theory-guided and confirmatory. That is, a single, theory-driven model is generally accepted or rejected based on its correspondence to the data</w:t>
      </w:r>
      <w:r w:rsidR="00F51306">
        <w:rPr>
          <w:rFonts w:ascii="Times New Roman" w:hAnsi="Times New Roman"/>
          <w:sz w:val="24"/>
          <w:szCs w:val="24"/>
          <w:lang w:eastAsia="tr-TR"/>
        </w:rPr>
        <w:t xml:space="preserve"> </w:t>
      </w:r>
      <w:r w:rsidR="00F51306">
        <w:rPr>
          <w:rFonts w:ascii="Times New Roman" w:hAnsi="Times New Roman"/>
          <w:sz w:val="24"/>
          <w:szCs w:val="24"/>
          <w:lang w:eastAsia="tr-TR"/>
        </w:rPr>
        <w:fldChar w:fldCharType="begin"/>
      </w:r>
      <w:r w:rsidR="00F51306">
        <w:rPr>
          <w:rFonts w:ascii="Times New Roman" w:hAnsi="Times New Roman"/>
          <w:sz w:val="24"/>
          <w:szCs w:val="24"/>
          <w:lang w:eastAsia="tr-TR"/>
        </w:rPr>
        <w:instrText xml:space="preserve"> ADDIN EN.CITE &lt;EndNote&gt;&lt;Cite&gt;&lt;Author&gt;Kline&lt;/Author&gt;&lt;Year&gt;2011&lt;/Year&gt;&lt;RecNum&gt;67&lt;/RecNum&gt;&lt;Pages&gt;8&lt;/Pages&gt;&lt;DisplayText&gt;(Kline, 2011, p. 8)&lt;/DisplayText&gt;&lt;record&gt;&lt;rec-number&gt;67&lt;/rec-number&gt;&lt;foreign-keys&gt;&lt;key app="EN" db-id="wpdvtsapwpz028eswpzxrv0yxst0p2pv009a" timestamp="1538655245"&gt;67&lt;/key&gt;&lt;/foreign-keys&gt;&lt;ref-type name="Book"&gt;6&lt;/ref-type&gt;&lt;contributors&gt;&lt;authors&gt;&lt;author&gt;Kline, R.B.&lt;/author&gt;&lt;/authors&gt;&lt;/contributors&gt;&lt;titles&gt;&lt;title&gt;Principles and Practice of Structural Equation Modeling&lt;/title&gt;&lt;/titles&gt;&lt;edition&gt;Third&lt;/edition&gt;&lt;dates&gt;&lt;year&gt;2011&lt;/year&gt;&lt;/dates&gt;&lt;pub-location&gt;New York&lt;/pub-location&gt;&lt;publisher&gt;Guilford Press&lt;/publisher&gt;&lt;urls&gt;&lt;/urls&gt;&lt;/record&gt;&lt;/Cite&gt;&lt;/EndNote&gt;</w:instrText>
      </w:r>
      <w:r w:rsidR="00F51306">
        <w:rPr>
          <w:rFonts w:ascii="Times New Roman" w:hAnsi="Times New Roman"/>
          <w:sz w:val="24"/>
          <w:szCs w:val="24"/>
          <w:lang w:eastAsia="tr-TR"/>
        </w:rPr>
        <w:fldChar w:fldCharType="separate"/>
      </w:r>
      <w:r w:rsidR="00F51306">
        <w:rPr>
          <w:rFonts w:ascii="Times New Roman" w:hAnsi="Times New Roman"/>
          <w:noProof/>
          <w:sz w:val="24"/>
          <w:szCs w:val="24"/>
          <w:lang w:eastAsia="tr-TR"/>
        </w:rPr>
        <w:t>(Kline, 2011, p. 8)</w:t>
      </w:r>
      <w:r w:rsidR="00F51306">
        <w:rPr>
          <w:rFonts w:ascii="Times New Roman" w:hAnsi="Times New Roman"/>
          <w:sz w:val="24"/>
          <w:szCs w:val="24"/>
          <w:lang w:eastAsia="tr-TR"/>
        </w:rPr>
        <w:fldChar w:fldCharType="end"/>
      </w:r>
      <w:r w:rsidRPr="00FB5B28">
        <w:rPr>
          <w:rFonts w:ascii="Times New Roman" w:hAnsi="Times New Roman"/>
          <w:sz w:val="24"/>
          <w:szCs w:val="24"/>
          <w:lang w:eastAsia="tr-TR"/>
        </w:rPr>
        <w:t xml:space="preserve">. Yet, there is often more than one theoretical model that can explain the relationships between variables. In such situations, the practice is to test the alternative models and compare their fit indices to those of the original model. If the fit of the alternative model is poor, there is an empirical basis for rejecting it </w:t>
      </w:r>
      <w:r w:rsidR="00F51306">
        <w:rPr>
          <w:rFonts w:ascii="Times New Roman" w:hAnsi="Times New Roman"/>
          <w:sz w:val="24"/>
          <w:szCs w:val="24"/>
          <w:lang w:eastAsia="tr-TR"/>
        </w:rPr>
        <w:fldChar w:fldCharType="begin"/>
      </w:r>
      <w:r w:rsidR="00F51306">
        <w:rPr>
          <w:rFonts w:ascii="Times New Roman" w:hAnsi="Times New Roman"/>
          <w:sz w:val="24"/>
          <w:szCs w:val="24"/>
          <w:lang w:eastAsia="tr-TR"/>
        </w:rPr>
        <w:instrText xml:space="preserve"> ADDIN EN.CITE &lt;EndNote&gt;&lt;Cite&gt;&lt;Author&gt;Kline&lt;/Author&gt;&lt;Year&gt;2011&lt;/Year&gt;&lt;RecNum&gt;67&lt;/RecNum&gt;&lt;Pages&gt;9`, 14&lt;/Pages&gt;&lt;DisplayText&gt;(Kline, 2011, pp. 9, 14)&lt;/DisplayText&gt;&lt;record&gt;&lt;rec-number&gt;67&lt;/rec-number&gt;&lt;foreign-keys&gt;&lt;key app="EN" db-id="wpdvtsapwpz028eswpzxrv0yxst0p2pv009a" timestamp="1538655245"&gt;67&lt;/key&gt;&lt;/foreign-keys&gt;&lt;ref-type name="Book"&gt;6&lt;/ref-type&gt;&lt;contributors&gt;&lt;authors&gt;&lt;author&gt;Kline, R.B.&lt;/author&gt;&lt;/authors&gt;&lt;/contributors&gt;&lt;titles&gt;&lt;title&gt;Principles and Practice of Structural Equation Modeling&lt;/title&gt;&lt;/titles&gt;&lt;edition&gt;Third&lt;/edition&gt;&lt;dates&gt;&lt;year&gt;2011&lt;/year&gt;&lt;/dates&gt;&lt;pub-location&gt;New York&lt;/pub-location&gt;&lt;publisher&gt;Guilford Press&lt;/publisher&gt;&lt;urls&gt;&lt;/urls&gt;&lt;/record&gt;&lt;/Cite&gt;&lt;/EndNote&gt;</w:instrText>
      </w:r>
      <w:r w:rsidR="00F51306">
        <w:rPr>
          <w:rFonts w:ascii="Times New Roman" w:hAnsi="Times New Roman"/>
          <w:sz w:val="24"/>
          <w:szCs w:val="24"/>
          <w:lang w:eastAsia="tr-TR"/>
        </w:rPr>
        <w:fldChar w:fldCharType="separate"/>
      </w:r>
      <w:r w:rsidR="00F51306">
        <w:rPr>
          <w:rFonts w:ascii="Times New Roman" w:hAnsi="Times New Roman"/>
          <w:noProof/>
          <w:sz w:val="24"/>
          <w:szCs w:val="24"/>
          <w:lang w:eastAsia="tr-TR"/>
        </w:rPr>
        <w:t>(Kline, 2011, pp. 9, 14)</w:t>
      </w:r>
      <w:r w:rsidR="00F51306">
        <w:rPr>
          <w:rFonts w:ascii="Times New Roman" w:hAnsi="Times New Roman"/>
          <w:sz w:val="24"/>
          <w:szCs w:val="24"/>
          <w:lang w:eastAsia="tr-TR"/>
        </w:rPr>
        <w:fldChar w:fldCharType="end"/>
      </w:r>
      <w:r w:rsidRPr="00FB5B28">
        <w:rPr>
          <w:rFonts w:ascii="Times New Roman" w:hAnsi="Times New Roman"/>
          <w:sz w:val="24"/>
          <w:szCs w:val="24"/>
          <w:lang w:eastAsia="tr-TR"/>
        </w:rPr>
        <w:t xml:space="preserve">. Of course, testing such alternative models does not necessarily determine that the causal specifications in the proposed model are correct, but it provides an additional statistical basis for evaluating a theory-driven model </w:t>
      </w:r>
      <w:r w:rsidR="00F51306">
        <w:rPr>
          <w:rFonts w:ascii="Times New Roman" w:hAnsi="Times New Roman"/>
          <w:sz w:val="24"/>
          <w:szCs w:val="24"/>
          <w:lang w:eastAsia="tr-TR"/>
        </w:rPr>
        <w:fldChar w:fldCharType="begin"/>
      </w:r>
      <w:r w:rsidR="00F51306">
        <w:rPr>
          <w:rFonts w:ascii="Times New Roman" w:hAnsi="Times New Roman"/>
          <w:sz w:val="24"/>
          <w:szCs w:val="24"/>
          <w:lang w:eastAsia="tr-TR"/>
        </w:rPr>
        <w:instrText xml:space="preserve"> ADDIN EN.CITE &lt;EndNote&gt;&lt;Cite&gt;&lt;Author&gt;Kline&lt;/Author&gt;&lt;Year&gt;2011&lt;/Year&gt;&lt;RecNum&gt;67&lt;/RecNum&gt;&lt;DisplayText&gt;(Kline, 2011)&lt;/DisplayText&gt;&lt;record&gt;&lt;rec-number&gt;67&lt;/rec-number&gt;&lt;foreign-keys&gt;&lt;key app="EN" db-id="wpdvtsapwpz028eswpzxrv0yxst0p2pv009a" timestamp="1538655245"&gt;67&lt;/key&gt;&lt;/foreign-keys&gt;&lt;ref-type name="Book"&gt;6&lt;/ref-type&gt;&lt;contributors&gt;&lt;authors&gt;&lt;author&gt;Kline, R.B.&lt;/author&gt;&lt;/authors&gt;&lt;/contributors&gt;&lt;titles&gt;&lt;title&gt;Principles and Practice of Structural Equation Modeling&lt;/title&gt;&lt;/titles&gt;&lt;edition&gt;Third&lt;/edition&gt;&lt;dates&gt;&lt;year&gt;2011&lt;/year&gt;&lt;/dates&gt;&lt;pub-location&gt;New York&lt;/pub-location&gt;&lt;publisher&gt;Guilford Press&lt;/publisher&gt;&lt;urls&gt;&lt;/urls&gt;&lt;/record&gt;&lt;/Cite&gt;&lt;/EndNote&gt;</w:instrText>
      </w:r>
      <w:r w:rsidR="00F51306">
        <w:rPr>
          <w:rFonts w:ascii="Times New Roman" w:hAnsi="Times New Roman"/>
          <w:sz w:val="24"/>
          <w:szCs w:val="24"/>
          <w:lang w:eastAsia="tr-TR"/>
        </w:rPr>
        <w:fldChar w:fldCharType="separate"/>
      </w:r>
      <w:r w:rsidR="00F51306">
        <w:rPr>
          <w:rFonts w:ascii="Times New Roman" w:hAnsi="Times New Roman"/>
          <w:noProof/>
          <w:sz w:val="24"/>
          <w:szCs w:val="24"/>
          <w:lang w:eastAsia="tr-TR"/>
        </w:rPr>
        <w:t>(Kline, 2011)</w:t>
      </w:r>
      <w:r w:rsidR="00F51306">
        <w:rPr>
          <w:rFonts w:ascii="Times New Roman" w:hAnsi="Times New Roman"/>
          <w:sz w:val="24"/>
          <w:szCs w:val="24"/>
          <w:lang w:eastAsia="tr-TR"/>
        </w:rPr>
        <w:fldChar w:fldCharType="end"/>
      </w:r>
      <w:r w:rsidRPr="00FB5B28">
        <w:rPr>
          <w:rFonts w:ascii="Times New Roman" w:hAnsi="Times New Roman"/>
          <w:sz w:val="24"/>
          <w:szCs w:val="24"/>
          <w:lang w:eastAsia="tr-TR"/>
        </w:rPr>
        <w:t>. Accordingly, we ran some alternative path models and compared their fit indices to our original spec</w:t>
      </w:r>
      <w:r>
        <w:rPr>
          <w:rFonts w:ascii="Times New Roman" w:hAnsi="Times New Roman"/>
          <w:sz w:val="24"/>
          <w:szCs w:val="24"/>
          <w:lang w:eastAsia="tr-TR"/>
        </w:rPr>
        <w:t>ification.</w:t>
      </w:r>
    </w:p>
    <w:p w:rsidR="005630B3" w:rsidRPr="00FB5B28" w:rsidRDefault="005630B3" w:rsidP="005630B3">
      <w:pPr>
        <w:ind w:firstLine="708"/>
        <w:rPr>
          <w:rFonts w:ascii="Times New Roman" w:hAnsi="Times New Roman"/>
          <w:sz w:val="24"/>
          <w:szCs w:val="24"/>
        </w:rPr>
      </w:pPr>
      <w:r w:rsidRPr="00FB5B28">
        <w:rPr>
          <w:rFonts w:ascii="Times New Roman" w:hAnsi="Times New Roman"/>
          <w:i/>
          <w:sz w:val="24"/>
          <w:szCs w:val="24"/>
          <w:lang w:eastAsia="tr-TR"/>
        </w:rPr>
        <w:t xml:space="preserve">Models </w:t>
      </w:r>
      <w:proofErr w:type="spellStart"/>
      <w:proofErr w:type="gramStart"/>
      <w:r w:rsidRPr="00FB5B28">
        <w:rPr>
          <w:rFonts w:ascii="Times New Roman" w:hAnsi="Times New Roman"/>
          <w:i/>
          <w:sz w:val="24"/>
          <w:szCs w:val="24"/>
          <w:lang w:eastAsia="tr-TR"/>
        </w:rPr>
        <w:t>Ia</w:t>
      </w:r>
      <w:proofErr w:type="spellEnd"/>
      <w:proofErr w:type="gramEnd"/>
      <w:r w:rsidRPr="00FB5B28">
        <w:rPr>
          <w:rFonts w:ascii="Times New Roman" w:hAnsi="Times New Roman"/>
          <w:i/>
          <w:sz w:val="24"/>
          <w:szCs w:val="24"/>
          <w:lang w:eastAsia="tr-TR"/>
        </w:rPr>
        <w:t xml:space="preserve"> and </w:t>
      </w:r>
      <w:proofErr w:type="spellStart"/>
      <w:r w:rsidRPr="00FB5B28">
        <w:rPr>
          <w:rFonts w:ascii="Times New Roman" w:hAnsi="Times New Roman"/>
          <w:i/>
          <w:sz w:val="24"/>
          <w:szCs w:val="24"/>
          <w:lang w:eastAsia="tr-TR"/>
        </w:rPr>
        <w:t>Ib</w:t>
      </w:r>
      <w:proofErr w:type="spellEnd"/>
      <w:r w:rsidRPr="00FB5B28">
        <w:rPr>
          <w:rFonts w:ascii="Times New Roman" w:hAnsi="Times New Roman"/>
          <w:i/>
          <w:sz w:val="24"/>
          <w:szCs w:val="24"/>
          <w:lang w:eastAsia="tr-TR"/>
        </w:rPr>
        <w:t xml:space="preserve"> (Alternative mediators).</w:t>
      </w:r>
      <w:r w:rsidRPr="00FB5B28">
        <w:rPr>
          <w:rFonts w:ascii="Times New Roman" w:hAnsi="Times New Roman"/>
          <w:sz w:val="24"/>
          <w:szCs w:val="24"/>
          <w:lang w:eastAsia="tr-TR"/>
        </w:rPr>
        <w:t xml:space="preserve"> While recent empirical evidence shows that compassion and benevolence are associated with religious belief rather than religious social behavior (</w:t>
      </w:r>
      <w:proofErr w:type="spellStart"/>
      <w:r w:rsidRPr="00FB5B28">
        <w:rPr>
          <w:rFonts w:ascii="Times New Roman" w:hAnsi="Times New Roman"/>
          <w:sz w:val="24"/>
          <w:szCs w:val="24"/>
          <w:lang w:eastAsia="tr-TR"/>
        </w:rPr>
        <w:t>Blouin</w:t>
      </w:r>
      <w:proofErr w:type="spellEnd"/>
      <w:r w:rsidRPr="00FB5B28">
        <w:rPr>
          <w:rFonts w:ascii="Times New Roman" w:hAnsi="Times New Roman"/>
          <w:sz w:val="24"/>
          <w:szCs w:val="24"/>
          <w:lang w:eastAsia="tr-TR"/>
        </w:rPr>
        <w:t xml:space="preserve">, Robinson, and Starks 2013), we wanted to </w:t>
      </w:r>
      <w:r w:rsidRPr="00FB5B28">
        <w:rPr>
          <w:rFonts w:ascii="Times New Roman" w:hAnsi="Times New Roman"/>
          <w:sz w:val="24"/>
          <w:szCs w:val="24"/>
        </w:rPr>
        <w:t xml:space="preserve">test whether a model in which the social behavior dimension predicts prosocial values fits the data better. In addition, we also considered the possibility that happiness mediates the effect of religious belief </w:t>
      </w:r>
      <w:r w:rsidRPr="00FB5B28">
        <w:rPr>
          <w:rFonts w:ascii="Times New Roman" w:hAnsi="Times New Roman"/>
          <w:sz w:val="24"/>
          <w:szCs w:val="24"/>
          <w:lang w:eastAsia="tr-TR"/>
        </w:rPr>
        <w:t>due to a sense of direct connection with the divine</w:t>
      </w:r>
      <w:r w:rsidR="00F51306">
        <w:rPr>
          <w:rFonts w:ascii="Times New Roman" w:hAnsi="Times New Roman"/>
          <w:sz w:val="24"/>
          <w:szCs w:val="24"/>
          <w:lang w:eastAsia="tr-TR"/>
        </w:rPr>
        <w:t xml:space="preserve"> </w:t>
      </w:r>
      <w:r w:rsidR="003D01EE">
        <w:rPr>
          <w:rFonts w:ascii="Times New Roman" w:hAnsi="Times New Roman"/>
          <w:sz w:val="24"/>
          <w:szCs w:val="24"/>
          <w:lang w:eastAsia="tr-TR"/>
        </w:rPr>
        <w:fldChar w:fldCharType="begin"/>
      </w:r>
      <w:r w:rsidR="003D01EE">
        <w:rPr>
          <w:rFonts w:ascii="Times New Roman" w:hAnsi="Times New Roman"/>
          <w:sz w:val="24"/>
          <w:szCs w:val="24"/>
          <w:lang w:eastAsia="tr-TR"/>
        </w:rPr>
        <w:instrText xml:space="preserve"> ADDIN EN.CITE &lt;EndNote&gt;&lt;Cite&gt;&lt;Author&gt;Byrd&lt;/Author&gt;&lt;Year&gt;2000&lt;/Year&gt;&lt;RecNum&gt;220&lt;/RecNum&gt;&lt;DisplayText&gt;(Byrd, Lear, &amp;amp; Schwenka, 2000)&lt;/DisplayText&gt;&lt;record&gt;&lt;rec-number&gt;220&lt;/rec-number&gt;&lt;foreign-keys&gt;&lt;key app="EN" db-id="wpdvtsapwpz028eswpzxrv0yxst0p2pv009a" timestamp="1538826191"&gt;220&lt;/key&gt;&lt;/foreign-keys&gt;&lt;ref-type name="Journal Article"&gt;17&lt;/ref-type&gt;&lt;contributors&gt;&lt;authors&gt;&lt;author&gt;Byrd, K.R.&lt;/author&gt;&lt;author&gt;Lear, D.&lt;/author&gt;&lt;author&gt;Schwenka, S.&lt;/author&gt;&lt;/authors&gt;&lt;/contributors&gt;&lt;titles&gt;&lt;title&gt;Mysticism as a Predictor of Subjective Well-Being&lt;/title&gt;&lt;secondary-title&gt;International Journal for the Psychology of Religion &lt;/secondary-title&gt;&lt;/titles&gt;&lt;periodical&gt;&lt;full-title&gt;International Journal for the Psychology of Religion&lt;/full-title&gt;&lt;/periodical&gt;&lt;pages&gt;259–270&lt;/pages&gt;&lt;volume&gt;10&lt;/volume&gt;&lt;number&gt;4&lt;/number&gt;&lt;dates&gt;&lt;year&gt;2000&lt;/year&gt;&lt;/dates&gt;&lt;urls&gt;&lt;/urls&gt;&lt;/record&gt;&lt;/Cite&gt;&lt;/EndNote&gt;</w:instrText>
      </w:r>
      <w:r w:rsidR="003D01EE">
        <w:rPr>
          <w:rFonts w:ascii="Times New Roman" w:hAnsi="Times New Roman"/>
          <w:sz w:val="24"/>
          <w:szCs w:val="24"/>
          <w:lang w:eastAsia="tr-TR"/>
        </w:rPr>
        <w:fldChar w:fldCharType="separate"/>
      </w:r>
      <w:r w:rsidR="003D01EE">
        <w:rPr>
          <w:rFonts w:ascii="Times New Roman" w:hAnsi="Times New Roman"/>
          <w:noProof/>
          <w:sz w:val="24"/>
          <w:szCs w:val="24"/>
          <w:lang w:eastAsia="tr-TR"/>
        </w:rPr>
        <w:t>(Byrd, Lear, &amp; Schwenka, 2000)</w:t>
      </w:r>
      <w:r w:rsidR="003D01EE">
        <w:rPr>
          <w:rFonts w:ascii="Times New Roman" w:hAnsi="Times New Roman"/>
          <w:sz w:val="24"/>
          <w:szCs w:val="24"/>
          <w:lang w:eastAsia="tr-TR"/>
        </w:rPr>
        <w:fldChar w:fldCharType="end"/>
      </w:r>
      <w:r w:rsidRPr="00FB5B28">
        <w:rPr>
          <w:rFonts w:ascii="Times New Roman" w:hAnsi="Times New Roman"/>
          <w:sz w:val="24"/>
          <w:szCs w:val="24"/>
          <w:lang w:eastAsia="tr-TR"/>
        </w:rPr>
        <w:t xml:space="preserve">. Accordingly, we specified two models in which we alternated the mediators of religious belief and religious social behavior. </w:t>
      </w:r>
      <w:r w:rsidRPr="00FB5B28">
        <w:rPr>
          <w:rFonts w:ascii="Times New Roman" w:hAnsi="Times New Roman"/>
          <w:sz w:val="24"/>
          <w:szCs w:val="24"/>
        </w:rPr>
        <w:t xml:space="preserve">Model </w:t>
      </w:r>
      <w:proofErr w:type="spellStart"/>
      <w:proofErr w:type="gramStart"/>
      <w:r w:rsidRPr="00FB5B28">
        <w:rPr>
          <w:rFonts w:ascii="Times New Roman" w:hAnsi="Times New Roman"/>
          <w:sz w:val="24"/>
          <w:szCs w:val="24"/>
        </w:rPr>
        <w:t>Ia</w:t>
      </w:r>
      <w:proofErr w:type="spellEnd"/>
      <w:proofErr w:type="gramEnd"/>
      <w:r w:rsidRPr="00FB5B28">
        <w:rPr>
          <w:rFonts w:ascii="Times New Roman" w:hAnsi="Times New Roman"/>
          <w:sz w:val="24"/>
          <w:szCs w:val="24"/>
        </w:rPr>
        <w:t xml:space="preserve">: religious belief </w:t>
      </w:r>
      <w:r w:rsidRPr="00FB5B28">
        <w:rPr>
          <w:rFonts w:ascii="Times New Roman" w:hAnsi="Times New Roman"/>
          <w:sz w:val="24"/>
          <w:szCs w:val="24"/>
        </w:rPr>
        <w:sym w:font="Wingdings" w:char="F0E0"/>
      </w:r>
      <w:r w:rsidRPr="00FB5B28">
        <w:rPr>
          <w:rFonts w:ascii="Times New Roman" w:hAnsi="Times New Roman"/>
          <w:sz w:val="24"/>
          <w:szCs w:val="24"/>
        </w:rPr>
        <w:t xml:space="preserve"> prosocial values and happiness</w:t>
      </w:r>
      <w:r w:rsidRPr="00FB5B28">
        <w:rPr>
          <w:rFonts w:ascii="Times New Roman" w:hAnsi="Times New Roman"/>
          <w:sz w:val="24"/>
          <w:szCs w:val="24"/>
        </w:rPr>
        <w:sym w:font="Wingdings" w:char="F0E0"/>
      </w:r>
      <w:r w:rsidRPr="00FB5B28">
        <w:rPr>
          <w:rFonts w:ascii="Times New Roman" w:hAnsi="Times New Roman"/>
          <w:sz w:val="24"/>
          <w:szCs w:val="24"/>
        </w:rPr>
        <w:t xml:space="preserve"> support for redistribution versus religious social behavior </w:t>
      </w:r>
      <w:r w:rsidRPr="00FB5B28">
        <w:rPr>
          <w:rFonts w:ascii="Times New Roman" w:hAnsi="Times New Roman"/>
          <w:sz w:val="24"/>
          <w:szCs w:val="24"/>
        </w:rPr>
        <w:sym w:font="Wingdings" w:char="F0E0"/>
      </w:r>
      <w:r w:rsidRPr="00FB5B28">
        <w:rPr>
          <w:rFonts w:ascii="Times New Roman" w:hAnsi="Times New Roman"/>
          <w:sz w:val="24"/>
          <w:szCs w:val="24"/>
        </w:rPr>
        <w:t xml:space="preserve"> conservative identification </w:t>
      </w:r>
      <w:r w:rsidRPr="00FB5B28">
        <w:rPr>
          <w:rFonts w:ascii="Times New Roman" w:hAnsi="Times New Roman"/>
          <w:sz w:val="24"/>
          <w:szCs w:val="24"/>
        </w:rPr>
        <w:sym w:font="Wingdings" w:char="F0E0"/>
      </w:r>
      <w:r w:rsidRPr="00FB5B28">
        <w:rPr>
          <w:rFonts w:ascii="Times New Roman" w:hAnsi="Times New Roman"/>
          <w:sz w:val="24"/>
          <w:szCs w:val="24"/>
        </w:rPr>
        <w:t xml:space="preserve"> support for redistribution; Model </w:t>
      </w:r>
      <w:proofErr w:type="spellStart"/>
      <w:r w:rsidRPr="00FB5B28">
        <w:rPr>
          <w:rFonts w:ascii="Times New Roman" w:hAnsi="Times New Roman"/>
          <w:sz w:val="24"/>
          <w:szCs w:val="24"/>
        </w:rPr>
        <w:t>Ib</w:t>
      </w:r>
      <w:proofErr w:type="spellEnd"/>
      <w:r w:rsidRPr="00FB5B28">
        <w:rPr>
          <w:rFonts w:ascii="Times New Roman" w:hAnsi="Times New Roman"/>
          <w:sz w:val="24"/>
          <w:szCs w:val="24"/>
        </w:rPr>
        <w:t xml:space="preserve">: religious belief </w:t>
      </w:r>
      <w:r w:rsidRPr="00FB5B28">
        <w:rPr>
          <w:rFonts w:ascii="Times New Roman" w:hAnsi="Times New Roman"/>
          <w:sz w:val="24"/>
          <w:szCs w:val="24"/>
        </w:rPr>
        <w:sym w:font="Wingdings" w:char="F0E0"/>
      </w:r>
      <w:r w:rsidRPr="00FB5B28">
        <w:rPr>
          <w:rFonts w:ascii="Times New Roman" w:hAnsi="Times New Roman"/>
          <w:sz w:val="24"/>
          <w:szCs w:val="24"/>
        </w:rPr>
        <w:t xml:space="preserve"> happiness </w:t>
      </w:r>
      <w:r w:rsidRPr="00FB5B28">
        <w:rPr>
          <w:rFonts w:ascii="Times New Roman" w:hAnsi="Times New Roman"/>
          <w:sz w:val="24"/>
          <w:szCs w:val="24"/>
        </w:rPr>
        <w:sym w:font="Wingdings" w:char="F0E0"/>
      </w:r>
      <w:r w:rsidRPr="00FB5B28">
        <w:rPr>
          <w:rFonts w:ascii="Times New Roman" w:hAnsi="Times New Roman"/>
          <w:sz w:val="24"/>
          <w:szCs w:val="24"/>
        </w:rPr>
        <w:t xml:space="preserve"> support for redistribution versus religious social behavior </w:t>
      </w:r>
      <w:r w:rsidRPr="00FB5B28">
        <w:rPr>
          <w:rFonts w:ascii="Times New Roman" w:hAnsi="Times New Roman"/>
          <w:sz w:val="24"/>
          <w:szCs w:val="24"/>
        </w:rPr>
        <w:sym w:font="Wingdings" w:char="F0E0"/>
      </w:r>
      <w:r w:rsidRPr="00FB5B28">
        <w:rPr>
          <w:rFonts w:ascii="Times New Roman" w:hAnsi="Times New Roman"/>
          <w:sz w:val="24"/>
          <w:szCs w:val="24"/>
        </w:rPr>
        <w:t xml:space="preserve"> prosocial values and conservative identification </w:t>
      </w:r>
      <w:r w:rsidRPr="00FB5B28">
        <w:rPr>
          <w:rFonts w:ascii="Times New Roman" w:hAnsi="Times New Roman"/>
          <w:sz w:val="24"/>
          <w:szCs w:val="24"/>
        </w:rPr>
        <w:sym w:font="Wingdings" w:char="F0E0"/>
      </w:r>
      <w:r w:rsidRPr="00FB5B28">
        <w:rPr>
          <w:rFonts w:ascii="Times New Roman" w:hAnsi="Times New Roman"/>
          <w:sz w:val="24"/>
          <w:szCs w:val="24"/>
        </w:rPr>
        <w:t xml:space="preserve"> support for redistribution.</w:t>
      </w:r>
    </w:p>
    <w:p w:rsidR="005630B3" w:rsidRDefault="005630B3" w:rsidP="005630B3">
      <w:pPr>
        <w:shd w:val="clear" w:color="auto" w:fill="FFFFFF"/>
        <w:ind w:firstLine="708"/>
        <w:rPr>
          <w:rFonts w:ascii="Times New Roman" w:hAnsi="Times New Roman"/>
          <w:sz w:val="24"/>
          <w:szCs w:val="24"/>
        </w:rPr>
      </w:pPr>
      <w:r w:rsidRPr="00FB5B28">
        <w:rPr>
          <w:rFonts w:ascii="Times New Roman" w:hAnsi="Times New Roman"/>
          <w:i/>
          <w:sz w:val="24"/>
          <w:szCs w:val="24"/>
          <w:lang w:eastAsia="tr-TR"/>
        </w:rPr>
        <w:t xml:space="preserve">Models </w:t>
      </w:r>
      <w:proofErr w:type="spellStart"/>
      <w:r w:rsidRPr="00FB5B28">
        <w:rPr>
          <w:rFonts w:ascii="Times New Roman" w:hAnsi="Times New Roman"/>
          <w:i/>
          <w:sz w:val="24"/>
          <w:szCs w:val="24"/>
          <w:lang w:eastAsia="tr-TR"/>
        </w:rPr>
        <w:t>IIa</w:t>
      </w:r>
      <w:proofErr w:type="spellEnd"/>
      <w:r w:rsidRPr="00FB5B28">
        <w:rPr>
          <w:rFonts w:ascii="Times New Roman" w:hAnsi="Times New Roman"/>
          <w:i/>
          <w:sz w:val="24"/>
          <w:szCs w:val="24"/>
          <w:lang w:eastAsia="tr-TR"/>
        </w:rPr>
        <w:t xml:space="preserve"> and </w:t>
      </w:r>
      <w:proofErr w:type="spellStart"/>
      <w:r w:rsidRPr="00FB5B28">
        <w:rPr>
          <w:rFonts w:ascii="Times New Roman" w:hAnsi="Times New Roman"/>
          <w:i/>
          <w:sz w:val="24"/>
          <w:szCs w:val="24"/>
          <w:lang w:eastAsia="tr-TR"/>
        </w:rPr>
        <w:t>IIb</w:t>
      </w:r>
      <w:proofErr w:type="spellEnd"/>
      <w:r w:rsidRPr="00FB5B28">
        <w:rPr>
          <w:rFonts w:ascii="Times New Roman" w:hAnsi="Times New Roman"/>
          <w:i/>
          <w:sz w:val="24"/>
          <w:szCs w:val="24"/>
          <w:lang w:eastAsia="tr-TR"/>
        </w:rPr>
        <w:t xml:space="preserve"> (Religiosity dimensions as mediators).</w:t>
      </w:r>
      <w:r w:rsidRPr="00FB5B28">
        <w:rPr>
          <w:rFonts w:ascii="Times New Roman" w:hAnsi="Times New Roman"/>
          <w:sz w:val="24"/>
          <w:szCs w:val="24"/>
          <w:lang w:eastAsia="tr-TR"/>
        </w:rPr>
        <w:t xml:space="preserve"> </w:t>
      </w:r>
      <w:r w:rsidRPr="00FB5B28">
        <w:rPr>
          <w:rFonts w:ascii="Times New Roman" w:hAnsi="Times New Roman"/>
          <w:sz w:val="24"/>
          <w:szCs w:val="24"/>
        </w:rPr>
        <w:t xml:space="preserve">The hypothesis that religious belief predicts ideological orientations and pro-social values rather than the other way round </w:t>
      </w:r>
      <w:r w:rsidRPr="00FB5B28">
        <w:rPr>
          <w:rFonts w:ascii="Times New Roman" w:hAnsi="Times New Roman"/>
          <w:sz w:val="24"/>
          <w:szCs w:val="24"/>
          <w:lang w:val="en-GB"/>
        </w:rPr>
        <w:t>was based on a developmental logic. </w:t>
      </w:r>
      <w:r w:rsidRPr="00FB5B28">
        <w:rPr>
          <w:rFonts w:ascii="Times New Roman" w:hAnsi="Times New Roman"/>
          <w:sz w:val="24"/>
          <w:szCs w:val="24"/>
        </w:rPr>
        <w:t xml:space="preserve">In line with much of the political science literature (see Knight 2006 for a discussion), we refer to ideological orientations as </w:t>
      </w:r>
      <w:r w:rsidRPr="00FB5B28">
        <w:rPr>
          <w:rFonts w:ascii="Times New Roman" w:hAnsi="Times New Roman"/>
          <w:sz w:val="24"/>
          <w:szCs w:val="24"/>
          <w:shd w:val="clear" w:color="auto" w:fill="FFFFFF"/>
        </w:rPr>
        <w:t>“</w:t>
      </w:r>
      <w:r w:rsidRPr="00FB5B28">
        <w:rPr>
          <w:rFonts w:ascii="Times New Roman" w:hAnsi="Times New Roman"/>
          <w:sz w:val="24"/>
          <w:szCs w:val="24"/>
        </w:rPr>
        <w:t xml:space="preserve">coherent and relatively stable set of beliefs or values” </w:t>
      </w:r>
      <w:r w:rsidR="003D01EE">
        <w:rPr>
          <w:rFonts w:ascii="Times New Roman" w:hAnsi="Times New Roman"/>
          <w:sz w:val="24"/>
          <w:szCs w:val="24"/>
        </w:rPr>
        <w:fldChar w:fldCharType="begin"/>
      </w:r>
      <w:r w:rsidR="003D01EE">
        <w:rPr>
          <w:rFonts w:ascii="Times New Roman" w:hAnsi="Times New Roman"/>
          <w:sz w:val="24"/>
          <w:szCs w:val="24"/>
        </w:rPr>
        <w:instrText xml:space="preserve"> ADDIN EN.CITE &lt;EndNote&gt;&lt;Cite&gt;&lt;Author&gt;Knight&lt;/Author&gt;&lt;Year&gt;2006&lt;/Year&gt;&lt;RecNum&gt;221&lt;/RecNum&gt;&lt;Pages&gt;265&lt;/Pages&gt;&lt;DisplayText&gt;(Knight, 2006, p. 265)&lt;/DisplayText&gt;&lt;record&gt;&lt;rec-number&gt;221&lt;/rec-number&gt;&lt;foreign-keys&gt;&lt;key app="EN" db-id="wpdvtsapwpz028eswpzxrv0yxst0p2pv009a" timestamp="1538826239"&gt;221&lt;/key&gt;&lt;/foreign-keys&gt;&lt;ref-type name="Journal Article"&gt;17&lt;/ref-type&gt;&lt;contributors&gt;&lt;authors&gt;&lt;author&gt;Knight, K.&lt;/author&gt;&lt;/authors&gt;&lt;/contributors&gt;&lt;auth-address&gt;Columbia Univ Barnard Coll, New York, NY 10027 USA&lt;/auth-address&gt;&lt;titles&gt;&lt;title&gt;Transformations of the concept of ideology in the twentieth century&lt;/title&gt;&lt;secondary-title&gt;American Political Science Review&lt;/secondary-title&gt;&lt;alt-title&gt;Am Polit Sci Rev&lt;/alt-title&gt;&lt;/titles&gt;&lt;periodical&gt;&lt;full-title&gt;American Political Science Review&lt;/full-title&gt;&lt;abbr-1&gt;Am Polit Sci Rev&lt;/abbr-1&gt;&lt;/periodical&gt;&lt;alt-periodical&gt;&lt;full-title&gt;American Political Science Review&lt;/full-title&gt;&lt;abbr-1&gt;Am Polit Sci Rev&lt;/abbr-1&gt;&lt;/alt-periodical&gt;&lt;pages&gt;619-626&lt;/pages&gt;&lt;volume&gt;100&lt;/volume&gt;&lt;number&gt;4&lt;/number&gt;&lt;keywords&gt;&lt;keyword&gt;political-behavior&lt;/keyword&gt;&lt;keyword&gt;public-opinion&lt;/keyword&gt;&lt;keyword&gt;belief systems&lt;/keyword&gt;&lt;keyword&gt;conservatism&lt;/keyword&gt;&lt;keyword&gt;electorate&lt;/keyword&gt;&lt;keyword&gt;constraint&lt;/keyword&gt;&lt;keyword&gt;election&lt;/keyword&gt;&lt;keyword&gt;policy&lt;/keyword&gt;&lt;keyword&gt;us&lt;/keyword&gt;&lt;/keywords&gt;&lt;dates&gt;&lt;year&gt;2006&lt;/year&gt;&lt;pub-dates&gt;&lt;date&gt;Nov&lt;/date&gt;&lt;/pub-dates&gt;&lt;/dates&gt;&lt;isbn&gt;0003-0554&lt;/isbn&gt;&lt;accession-num&gt;WOS:000242682200021&lt;/accession-num&gt;&lt;urls&gt;&lt;related-urls&gt;&lt;url&gt;&amp;lt;Go to ISI&amp;gt;://WOS:000242682200021&lt;/url&gt;&lt;/related-urls&gt;&lt;/urls&gt;&lt;language&gt;English&lt;/language&gt;&lt;/record&gt;&lt;/Cite&gt;&lt;/EndNote&gt;</w:instrText>
      </w:r>
      <w:r w:rsidR="003D01EE">
        <w:rPr>
          <w:rFonts w:ascii="Times New Roman" w:hAnsi="Times New Roman"/>
          <w:sz w:val="24"/>
          <w:szCs w:val="24"/>
        </w:rPr>
        <w:fldChar w:fldCharType="separate"/>
      </w:r>
      <w:r w:rsidR="003D01EE">
        <w:rPr>
          <w:rFonts w:ascii="Times New Roman" w:hAnsi="Times New Roman"/>
          <w:noProof/>
          <w:sz w:val="24"/>
          <w:szCs w:val="24"/>
        </w:rPr>
        <w:t>(Knight, 2006, p. 265)</w:t>
      </w:r>
      <w:r w:rsidR="003D01EE">
        <w:rPr>
          <w:rFonts w:ascii="Times New Roman" w:hAnsi="Times New Roman"/>
          <w:sz w:val="24"/>
          <w:szCs w:val="24"/>
        </w:rPr>
        <w:fldChar w:fldCharType="end"/>
      </w:r>
      <w:r w:rsidRPr="00FB5B28">
        <w:rPr>
          <w:rFonts w:ascii="Times New Roman" w:hAnsi="Times New Roman"/>
          <w:sz w:val="24"/>
          <w:szCs w:val="24"/>
        </w:rPr>
        <w:t>; or as “belief systems and frameworks of inter-related ideas … opinions, values, and beliefs about the nature of social reality that can be grouped together under some common social theme”</w:t>
      </w:r>
      <w:r w:rsidR="003D01EE">
        <w:rPr>
          <w:rFonts w:ascii="Times New Roman" w:hAnsi="Times New Roman"/>
          <w:sz w:val="24"/>
          <w:szCs w:val="24"/>
        </w:rPr>
        <w:t xml:space="preserve"> </w:t>
      </w:r>
      <w:r w:rsidR="003D01EE">
        <w:rPr>
          <w:rFonts w:ascii="Times New Roman" w:hAnsi="Times New Roman"/>
          <w:sz w:val="24"/>
          <w:szCs w:val="24"/>
        </w:rPr>
        <w:fldChar w:fldCharType="begin"/>
      </w:r>
      <w:r w:rsidR="003D01EE">
        <w:rPr>
          <w:rFonts w:ascii="Times New Roman" w:hAnsi="Times New Roman"/>
          <w:sz w:val="24"/>
          <w:szCs w:val="24"/>
        </w:rPr>
        <w:instrText xml:space="preserve"> ADDIN EN.CITE &lt;EndNote&gt;&lt;Cite&gt;&lt;Author&gt;Federico&lt;/Author&gt;&lt;Year&gt;2015&lt;/Year&gt;&lt;RecNum&gt;39&lt;/RecNum&gt;&lt;Pages&gt;82&lt;/Pages&gt;&lt;DisplayText&gt;(Federico, 2015, p. 82)&lt;/DisplayText&gt;&lt;record&gt;&lt;rec-number&gt;39&lt;/rec-number&gt;&lt;foreign-keys&gt;&lt;key app="EN" db-id="wpdvtsapwpz028eswpzxrv0yxst0p2pv009a" timestamp="1538653912"&gt;39&lt;/key&gt;&lt;/foreign-keys&gt;&lt;ref-type name="Book Section"&gt;5&lt;/ref-type&gt;&lt;contributors&gt;&lt;authors&gt;&lt;author&gt;Federico, C.&lt;/author&gt;&lt;/authors&gt;&lt;secondary-authors&gt;&lt;author&gt;Berinsky, A.&lt;/author&gt;&lt;/secondary-authors&gt;&lt;/contributors&gt;&lt;titles&gt;&lt;title&gt;The Structure, Foundations, and Expression of Ideology&lt;/title&gt;&lt;secondary-title&gt;New Directions in Public Opinion &lt;/secondary-title&gt;&lt;/titles&gt;&lt;pages&gt;81-103&lt;/pages&gt;&lt;edition&gt;Second &lt;/edition&gt;&lt;dates&gt;&lt;year&gt;2015&lt;/year&gt;&lt;/dates&gt;&lt;pub-location&gt;New York&lt;/pub-location&gt;&lt;publisher&gt;Routledge&lt;/publisher&gt;&lt;urls&gt;&lt;/urls&gt;&lt;/record&gt;&lt;/Cite&gt;&lt;/EndNote&gt;</w:instrText>
      </w:r>
      <w:r w:rsidR="003D01EE">
        <w:rPr>
          <w:rFonts w:ascii="Times New Roman" w:hAnsi="Times New Roman"/>
          <w:sz w:val="24"/>
          <w:szCs w:val="24"/>
        </w:rPr>
        <w:fldChar w:fldCharType="separate"/>
      </w:r>
      <w:r w:rsidR="003D01EE">
        <w:rPr>
          <w:rFonts w:ascii="Times New Roman" w:hAnsi="Times New Roman"/>
          <w:noProof/>
          <w:sz w:val="24"/>
          <w:szCs w:val="24"/>
        </w:rPr>
        <w:t>(Federico, 2015, p. 82)</w:t>
      </w:r>
      <w:r w:rsidR="003D01EE">
        <w:rPr>
          <w:rFonts w:ascii="Times New Roman" w:hAnsi="Times New Roman"/>
          <w:sz w:val="24"/>
          <w:szCs w:val="24"/>
        </w:rPr>
        <w:fldChar w:fldCharType="end"/>
      </w:r>
      <w:r w:rsidRPr="00FB5B28">
        <w:rPr>
          <w:rFonts w:ascii="Times New Roman" w:hAnsi="Times New Roman"/>
          <w:sz w:val="24"/>
          <w:szCs w:val="24"/>
        </w:rPr>
        <w:t>. Based on this definition, ideological identification requires some comprehension of abstract concepts</w:t>
      </w:r>
      <w:r w:rsidR="003D01EE">
        <w:rPr>
          <w:rFonts w:ascii="Times New Roman" w:hAnsi="Times New Roman"/>
          <w:sz w:val="24"/>
          <w:szCs w:val="24"/>
        </w:rPr>
        <w:t xml:space="preserve"> </w:t>
      </w:r>
      <w:r w:rsidR="003D01EE">
        <w:rPr>
          <w:rFonts w:ascii="Times New Roman" w:hAnsi="Times New Roman"/>
          <w:sz w:val="24"/>
          <w:szCs w:val="24"/>
        </w:rPr>
        <w:fldChar w:fldCharType="begin"/>
      </w:r>
      <w:r w:rsidR="003D01EE">
        <w:rPr>
          <w:rFonts w:ascii="Times New Roman" w:hAnsi="Times New Roman"/>
          <w:sz w:val="24"/>
          <w:szCs w:val="24"/>
        </w:rPr>
        <w:instrText xml:space="preserve"> ADDIN EN.CITE &lt;EndNote&gt;&lt;Cite&gt;&lt;Author&gt;Freeden&lt;/Author&gt;&lt;Year&gt;1996&lt;/Year&gt;&lt;RecNum&gt;42&lt;/RecNum&gt;&lt;DisplayText&gt;(Freeden, 1996)&lt;/DisplayText&gt;&lt;record&gt;&lt;rec-number&gt;42&lt;/rec-number&gt;&lt;foreign-keys&gt;&lt;key app="EN" db-id="wpdvtsapwpz028eswpzxrv0yxst0p2pv009a" timestamp="1538654377"&gt;42&lt;/key&gt;&lt;/foreign-keys&gt;&lt;ref-type name="Book"&gt;6&lt;/ref-type&gt;&lt;contributors&gt;&lt;authors&gt;&lt;author&gt;Freeden, M.&lt;/author&gt;&lt;/authors&gt;&lt;/contributors&gt;&lt;titles&gt;&lt;title&gt;Ideologies and Political Theory: A Conceptual Approach&lt;/title&gt;&lt;/titles&gt;&lt;dates&gt;&lt;year&gt;1996&lt;/year&gt;&lt;/dates&gt;&lt;pub-location&gt;New York&lt;/pub-location&gt;&lt;publisher&gt;Clarendon Press&lt;/publisher&gt;&lt;urls&gt;&lt;/urls&gt;&lt;/record&gt;&lt;/Cite&gt;&lt;/EndNote&gt;</w:instrText>
      </w:r>
      <w:r w:rsidR="003D01EE">
        <w:rPr>
          <w:rFonts w:ascii="Times New Roman" w:hAnsi="Times New Roman"/>
          <w:sz w:val="24"/>
          <w:szCs w:val="24"/>
        </w:rPr>
        <w:fldChar w:fldCharType="separate"/>
      </w:r>
      <w:r w:rsidR="003D01EE">
        <w:rPr>
          <w:rFonts w:ascii="Times New Roman" w:hAnsi="Times New Roman"/>
          <w:noProof/>
          <w:sz w:val="24"/>
          <w:szCs w:val="24"/>
        </w:rPr>
        <w:t>(Freeden, 1996)</w:t>
      </w:r>
      <w:r w:rsidR="003D01EE">
        <w:rPr>
          <w:rFonts w:ascii="Times New Roman" w:hAnsi="Times New Roman"/>
          <w:sz w:val="24"/>
          <w:szCs w:val="24"/>
        </w:rPr>
        <w:fldChar w:fldCharType="end"/>
      </w:r>
      <w:r w:rsidRPr="00FB5B28">
        <w:rPr>
          <w:rFonts w:ascii="Times New Roman" w:hAnsi="Times New Roman"/>
          <w:sz w:val="24"/>
          <w:szCs w:val="24"/>
        </w:rPr>
        <w:t xml:space="preserve">. </w:t>
      </w:r>
      <w:r w:rsidRPr="00FB5B28">
        <w:rPr>
          <w:rFonts w:ascii="Times New Roman" w:hAnsi="Times New Roman"/>
          <w:sz w:val="24"/>
          <w:szCs w:val="24"/>
          <w:lang w:val="en-GB"/>
        </w:rPr>
        <w:t xml:space="preserve">Research in developmental psychology suggests that comprehension of abstract political concepts, which are at the heart of ideological orientations, do not develop until adolescence </w:t>
      </w:r>
      <w:r w:rsidR="003D01EE">
        <w:rPr>
          <w:rFonts w:ascii="Times New Roman" w:hAnsi="Times New Roman"/>
          <w:sz w:val="24"/>
          <w:szCs w:val="24"/>
          <w:lang w:val="en-GB"/>
        </w:rPr>
        <w:fldChar w:fldCharType="begin"/>
      </w:r>
      <w:r w:rsidR="003D01EE">
        <w:rPr>
          <w:rFonts w:ascii="Times New Roman" w:hAnsi="Times New Roman"/>
          <w:sz w:val="24"/>
          <w:szCs w:val="24"/>
          <w:lang w:val="en-GB"/>
        </w:rPr>
        <w:instrText xml:space="preserve"> ADDIN EN.CITE &lt;EndNote&gt;&lt;Cite&gt;&lt;Author&gt;Piaget&lt;/Author&gt;&lt;Year&gt;1951&lt;/Year&gt;&lt;RecNum&gt;79&lt;/RecNum&gt;&lt;DisplayText&gt;(Piaget &amp;amp; Weil, 1951; Sigel &amp;amp; Cocking, 1977)&lt;/DisplayText&gt;&lt;record&gt;&lt;rec-number&gt;79&lt;/rec-number&gt;&lt;foreign-keys&gt;&lt;key app="EN" db-id="wpdvtsapwpz028eswpzxrv0yxst0p2pv009a" timestamp="1538655870"&gt;79&lt;/key&gt;&lt;/foreign-keys&gt;&lt;ref-type name="Journal Article"&gt;17&lt;/ref-type&gt;&lt;contributors&gt;&lt;authors&gt;&lt;author&gt;Piaget, J.&lt;/author&gt;&lt;author&gt;Weil, A.M.&lt;/author&gt;&lt;/authors&gt;&lt;/contributors&gt;&lt;titles&gt;&lt;title&gt;The Development in Children of the Idea of Homeland and Relations with Other Countries&lt;/title&gt;&lt;secondary-title&gt;International Social Science Bulletin &lt;/secondary-title&gt;&lt;/titles&gt;&lt;periodical&gt;&lt;full-title&gt;International Social Science Bulletin&lt;/full-title&gt;&lt;/periodical&gt;&lt;pages&gt;561-578&lt;/pages&gt;&lt;volume&gt;3&lt;/volume&gt;&lt;dates&gt;&lt;year&gt;1951&lt;/year&gt;&lt;/dates&gt;&lt;urls&gt;&lt;/urls&gt;&lt;/record&gt;&lt;/Cite&gt;&lt;Cite&gt;&lt;Author&gt;Sigel&lt;/Author&gt;&lt;Year&gt;1977&lt;/Year&gt;&lt;RecNum&gt;91&lt;/RecNum&gt;&lt;record&gt;&lt;rec-number&gt;91&lt;/rec-number&gt;&lt;foreign-keys&gt;&lt;key app="EN" db-id="wpdvtsapwpz028eswpzxrv0yxst0p2pv009a" timestamp="1538656601"&gt;91&lt;/key&gt;&lt;/foreign-keys&gt;&lt;ref-type name="Book"&gt;6&lt;/ref-type&gt;&lt;contributors&gt;&lt;authors&gt;&lt;author&gt;Sigel, I.E. &lt;/author&gt;&lt;author&gt;Cocking, R.E.&lt;/author&gt;&lt;/authors&gt;&lt;/contributors&gt;&lt;titles&gt;&lt;title&gt;Cognitive Development from Childhood to Adolescence: A Constructivist Perspective&lt;/title&gt;&lt;/titles&gt;&lt;dates&gt;&lt;year&gt;1977&lt;/year&gt;&lt;/dates&gt;&lt;pub-location&gt;New York&lt;/pub-location&gt;&lt;publisher&gt;Holt, Rinehart and Winston&lt;/publisher&gt;&lt;urls&gt;&lt;/urls&gt;&lt;/record&gt;&lt;/Cite&gt;&lt;/EndNote&gt;</w:instrText>
      </w:r>
      <w:r w:rsidR="003D01EE">
        <w:rPr>
          <w:rFonts w:ascii="Times New Roman" w:hAnsi="Times New Roman"/>
          <w:sz w:val="24"/>
          <w:szCs w:val="24"/>
          <w:lang w:val="en-GB"/>
        </w:rPr>
        <w:fldChar w:fldCharType="separate"/>
      </w:r>
      <w:r w:rsidR="003D01EE">
        <w:rPr>
          <w:rFonts w:ascii="Times New Roman" w:hAnsi="Times New Roman"/>
          <w:noProof/>
          <w:sz w:val="24"/>
          <w:szCs w:val="24"/>
          <w:lang w:val="en-GB"/>
        </w:rPr>
        <w:t>(Piaget &amp; Weil, 1951; Sigel &amp; Cocking, 1977)</w:t>
      </w:r>
      <w:r w:rsidR="003D01EE">
        <w:rPr>
          <w:rFonts w:ascii="Times New Roman" w:hAnsi="Times New Roman"/>
          <w:sz w:val="24"/>
          <w:szCs w:val="24"/>
          <w:lang w:val="en-GB"/>
        </w:rPr>
        <w:fldChar w:fldCharType="end"/>
      </w:r>
      <w:r w:rsidRPr="00FB5B28">
        <w:rPr>
          <w:rFonts w:ascii="Times New Roman" w:hAnsi="Times New Roman"/>
          <w:sz w:val="24"/>
          <w:szCs w:val="24"/>
          <w:lang w:val="en-GB"/>
        </w:rPr>
        <w:t xml:space="preserve">. Some even propose that it is not until the end of puberty that adolescents can grasp such concepts as society, institutions, norms, and laws </w:t>
      </w:r>
      <w:r w:rsidR="003D01EE">
        <w:rPr>
          <w:rFonts w:ascii="Times New Roman" w:hAnsi="Times New Roman"/>
          <w:sz w:val="24"/>
          <w:szCs w:val="24"/>
          <w:lang w:val="en-GB"/>
        </w:rPr>
        <w:fldChar w:fldCharType="begin"/>
      </w:r>
      <w:r w:rsidR="003D01EE">
        <w:rPr>
          <w:rFonts w:ascii="Times New Roman" w:hAnsi="Times New Roman"/>
          <w:sz w:val="24"/>
          <w:szCs w:val="24"/>
          <w:lang w:val="en-GB"/>
        </w:rPr>
        <w:instrText xml:space="preserve"> ADDIN EN.CITE &lt;EndNote&gt;&lt;Cite&gt;&lt;Author&gt;Torney-Purta&lt;/Author&gt;&lt;Year&gt;1990&lt;/Year&gt;&lt;RecNum&gt;98&lt;/RecNum&gt;&lt;DisplayText&gt;(Torney-Purta, 1990)&lt;/DisplayText&gt;&lt;record&gt;&lt;rec-number&gt;98&lt;/rec-number&gt;&lt;foreign-keys&gt;&lt;key app="EN" db-id="wpdvtsapwpz028eswpzxrv0yxst0p2pv009a" timestamp="1538656911"&gt;98&lt;/key&gt;&lt;/foreign-keys&gt;&lt;ref-type name="Book Section"&gt;5&lt;/ref-type&gt;&lt;contributors&gt;&lt;authors&gt;&lt;author&gt;Torney-Purta, J.&lt;/author&gt;&lt;/authors&gt;&lt;secondary-authors&gt;&lt;author&gt;S.S. Feldman, and G.R. Elliott &lt;/author&gt;&lt;/secondary-authors&gt;&lt;/contributors&gt;&lt;titles&gt;&lt;title&gt;Youth in Relation to Social Institutes&lt;/title&gt;&lt;secondary-title&gt;At the Threshold: The Developing Adolescent&lt;/secondary-title&gt;&lt;/titles&gt;&lt;pages&gt;457-477&lt;/pages&gt;&lt;dates&gt;&lt;year&gt;1990&lt;/year&gt;&lt;/dates&gt;&lt;pub-location&gt;Cambridge&lt;/pub-location&gt;&lt;publisher&gt;Harvard University Press&lt;/publisher&gt;&lt;urls&gt;&lt;/urls&gt;&lt;/record&gt;&lt;/Cite&gt;&lt;/EndNote&gt;</w:instrText>
      </w:r>
      <w:r w:rsidR="003D01EE">
        <w:rPr>
          <w:rFonts w:ascii="Times New Roman" w:hAnsi="Times New Roman"/>
          <w:sz w:val="24"/>
          <w:szCs w:val="24"/>
          <w:lang w:val="en-GB"/>
        </w:rPr>
        <w:fldChar w:fldCharType="separate"/>
      </w:r>
      <w:r w:rsidR="003D01EE">
        <w:rPr>
          <w:rFonts w:ascii="Times New Roman" w:hAnsi="Times New Roman"/>
          <w:noProof/>
          <w:sz w:val="24"/>
          <w:szCs w:val="24"/>
          <w:lang w:val="en-GB"/>
        </w:rPr>
        <w:t>(Torney-Purta, 1990)</w:t>
      </w:r>
      <w:r w:rsidR="003D01EE">
        <w:rPr>
          <w:rFonts w:ascii="Times New Roman" w:hAnsi="Times New Roman"/>
          <w:sz w:val="24"/>
          <w:szCs w:val="24"/>
          <w:lang w:val="en-GB"/>
        </w:rPr>
        <w:fldChar w:fldCharType="end"/>
      </w:r>
      <w:r w:rsidRPr="00FB5B28">
        <w:rPr>
          <w:rFonts w:ascii="Times New Roman" w:hAnsi="Times New Roman"/>
          <w:sz w:val="24"/>
          <w:szCs w:val="24"/>
          <w:lang w:val="en-GB"/>
        </w:rPr>
        <w:t xml:space="preserve">. In contrast, religious beliefs are adopted early in life, and influence an individual’s everyday life from infancy onwards, given that many parents socialize children into their own religious beliefs and </w:t>
      </w:r>
      <w:r w:rsidRPr="00FB5B28">
        <w:rPr>
          <w:rFonts w:ascii="Times New Roman" w:hAnsi="Times New Roman"/>
          <w:sz w:val="24"/>
          <w:szCs w:val="24"/>
          <w:lang w:val="en-GB"/>
        </w:rPr>
        <w:lastRenderedPageBreak/>
        <w:t xml:space="preserve">behaviours from a very young age </w:t>
      </w:r>
      <w:r w:rsidR="003D01EE">
        <w:rPr>
          <w:rFonts w:ascii="Times New Roman" w:hAnsi="Times New Roman"/>
          <w:sz w:val="24"/>
          <w:szCs w:val="24"/>
          <w:lang w:val="en-GB"/>
        </w:rPr>
        <w:fldChar w:fldCharType="begin"/>
      </w:r>
      <w:r w:rsidR="003D01EE">
        <w:rPr>
          <w:rFonts w:ascii="Times New Roman" w:hAnsi="Times New Roman"/>
          <w:sz w:val="24"/>
          <w:szCs w:val="24"/>
          <w:lang w:val="en-GB"/>
        </w:rPr>
        <w:instrText xml:space="preserve"> ADDIN EN.CITE &lt;EndNote&gt;&lt;Cite&gt;&lt;Author&gt;Myers&lt;/Author&gt;&lt;Year&gt;1996&lt;/Year&gt;&lt;RecNum&gt;74&lt;/RecNum&gt;&lt;DisplayText&gt;(Myers, 1996)&lt;/DisplayText&gt;&lt;record&gt;&lt;rec-number&gt;74&lt;/rec-number&gt;&lt;foreign-keys&gt;&lt;key app="EN" db-id="wpdvtsapwpz028eswpzxrv0yxst0p2pv009a" timestamp="1538655620"&gt;74&lt;/key&gt;&lt;/foreign-keys&gt;&lt;ref-type name="Journal Article"&gt;17&lt;/ref-type&gt;&lt;contributors&gt;&lt;authors&gt;&lt;author&gt;Myers, S. M.&lt;/author&gt;&lt;/authors&gt;&lt;/contributors&gt;&lt;titles&gt;&lt;title&gt;An interactive model of religiosity inheritance: The importance of family context&lt;/title&gt;&lt;secondary-title&gt;American Sociological Review&lt;/secondary-title&gt;&lt;alt-title&gt;Am Sociol Rev&lt;/alt-title&gt;&lt;/titles&gt;&lt;periodical&gt;&lt;full-title&gt;American Sociological Review&lt;/full-title&gt;&lt;abbr-1&gt;Am Sociol Rev&lt;/abbr-1&gt;&lt;/periodical&gt;&lt;alt-periodical&gt;&lt;full-title&gt;American Sociological Review&lt;/full-title&gt;&lt;abbr-1&gt;Am Sociol Rev&lt;/abbr-1&gt;&lt;/alt-periodical&gt;&lt;pages&gt;858-866&lt;/pages&gt;&lt;volume&gt;61&lt;/volume&gt;&lt;number&gt;5&lt;/number&gt;&lt;keywords&gt;&lt;keyword&gt;church attendance&lt;/keyword&gt;&lt;keyword&gt;united-states&lt;/keyword&gt;&lt;keyword&gt;life&lt;/keyword&gt;&lt;keyword&gt;secularization&lt;/keyword&gt;&lt;keyword&gt;transmission&lt;/keyword&gt;&lt;keyword&gt;adolescents&lt;/keyword&gt;&lt;keyword&gt;adulthood&lt;/keyword&gt;&lt;keyword&gt;children&lt;/keyword&gt;&lt;keyword&gt;age&lt;/keyword&gt;&lt;/keywords&gt;&lt;dates&gt;&lt;year&gt;1996&lt;/year&gt;&lt;pub-dates&gt;&lt;date&gt;Oct&lt;/date&gt;&lt;/pub-dates&gt;&lt;/dates&gt;&lt;isbn&gt;0003-1224&lt;/isbn&gt;&lt;accession-num&gt;WOS:A1996VL94000008&lt;/accession-num&gt;&lt;urls&gt;&lt;related-urls&gt;&lt;url&gt;&amp;lt;Go to ISI&amp;gt;://WOS:A1996VL94000008&lt;/url&gt;&lt;/related-urls&gt;&lt;/urls&gt;&lt;electronic-resource-num&gt;Doi 10.2307/2096457&lt;/electronic-resource-num&gt;&lt;language&gt;English&lt;/language&gt;&lt;/record&gt;&lt;/Cite&gt;&lt;/EndNote&gt;</w:instrText>
      </w:r>
      <w:r w:rsidR="003D01EE">
        <w:rPr>
          <w:rFonts w:ascii="Times New Roman" w:hAnsi="Times New Roman"/>
          <w:sz w:val="24"/>
          <w:szCs w:val="24"/>
          <w:lang w:val="en-GB"/>
        </w:rPr>
        <w:fldChar w:fldCharType="separate"/>
      </w:r>
      <w:r w:rsidR="003D01EE">
        <w:rPr>
          <w:rFonts w:ascii="Times New Roman" w:hAnsi="Times New Roman"/>
          <w:noProof/>
          <w:sz w:val="24"/>
          <w:szCs w:val="24"/>
          <w:lang w:val="en-GB"/>
        </w:rPr>
        <w:t>(Myers, 1996)</w:t>
      </w:r>
      <w:r w:rsidR="003D01EE">
        <w:rPr>
          <w:rFonts w:ascii="Times New Roman" w:hAnsi="Times New Roman"/>
          <w:sz w:val="24"/>
          <w:szCs w:val="24"/>
          <w:lang w:val="en-GB"/>
        </w:rPr>
        <w:fldChar w:fldCharType="end"/>
      </w:r>
      <w:r w:rsidRPr="00FB5B28">
        <w:rPr>
          <w:rFonts w:ascii="Times New Roman" w:hAnsi="Times New Roman"/>
          <w:sz w:val="24"/>
          <w:szCs w:val="24"/>
          <w:lang w:val="en-GB"/>
        </w:rPr>
        <w:t xml:space="preserve">. While religiosity and religious beliefs are adopted at a very young age, ideological orientations that demand more complex cognitive skills develop later in life. However, at some point in life, identification with political groups may lead an individual to become more or less devout or hold less prosocial values. In addition, one might argue that people may become more involved in religious social activities because of their ideological leanings. We therefore tested whether models in which </w:t>
      </w:r>
      <w:r w:rsidRPr="00FB5B28">
        <w:rPr>
          <w:rFonts w:ascii="Times New Roman" w:hAnsi="Times New Roman"/>
          <w:sz w:val="24"/>
          <w:szCs w:val="24"/>
        </w:rPr>
        <w:t xml:space="preserve">ideology and values predict religious belief or religious social behavior better fit the data. </w:t>
      </w:r>
    </w:p>
    <w:p w:rsidR="005630B3" w:rsidRPr="00FB5B28" w:rsidRDefault="005630B3" w:rsidP="005630B3">
      <w:pPr>
        <w:shd w:val="clear" w:color="auto" w:fill="FFFFFF"/>
        <w:ind w:firstLine="708"/>
        <w:rPr>
          <w:rFonts w:ascii="Times New Roman" w:hAnsi="Times New Roman"/>
          <w:sz w:val="24"/>
          <w:szCs w:val="24"/>
          <w:lang w:val="en-GB"/>
        </w:rPr>
      </w:pPr>
      <w:r w:rsidRPr="00FB5B28">
        <w:rPr>
          <w:rFonts w:ascii="Times New Roman" w:hAnsi="Times New Roman"/>
          <w:sz w:val="24"/>
          <w:szCs w:val="24"/>
          <w:lang w:eastAsia="tr-TR"/>
        </w:rPr>
        <w:t xml:space="preserve">The first alternative model also considers the possibility that happier and more prosocial individuals tend to be more involved in religious communities (Model </w:t>
      </w:r>
      <w:proofErr w:type="spellStart"/>
      <w:r w:rsidRPr="00FB5B28">
        <w:rPr>
          <w:rFonts w:ascii="Times New Roman" w:hAnsi="Times New Roman"/>
          <w:sz w:val="24"/>
          <w:szCs w:val="24"/>
          <w:lang w:eastAsia="tr-TR"/>
        </w:rPr>
        <w:t>IIa</w:t>
      </w:r>
      <w:proofErr w:type="spellEnd"/>
      <w:r w:rsidRPr="00FB5B28">
        <w:rPr>
          <w:rFonts w:ascii="Times New Roman" w:hAnsi="Times New Roman"/>
          <w:sz w:val="24"/>
          <w:szCs w:val="24"/>
          <w:lang w:eastAsia="tr-TR"/>
        </w:rPr>
        <w:t>: c</w:t>
      </w:r>
      <w:r w:rsidRPr="00FB5B28">
        <w:rPr>
          <w:rFonts w:ascii="Times New Roman" w:hAnsi="Times New Roman"/>
          <w:sz w:val="24"/>
          <w:szCs w:val="24"/>
        </w:rPr>
        <w:t>onservative identification</w:t>
      </w:r>
      <w:r w:rsidRPr="00FB5B28">
        <w:rPr>
          <w:rFonts w:ascii="Times New Roman" w:hAnsi="Times New Roman"/>
          <w:sz w:val="24"/>
          <w:szCs w:val="24"/>
          <w:lang w:eastAsia="tr-TR"/>
        </w:rPr>
        <w:t xml:space="preserve">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religious belief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support for redistribution versus happiness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religious social behavior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support for redistribution versus prosocial values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religious social behavior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support for redistribution); the second alternative model specifies prosocial orientations as predicting levels of religious belief (Model </w:t>
      </w:r>
      <w:proofErr w:type="spellStart"/>
      <w:r w:rsidRPr="00FB5B28">
        <w:rPr>
          <w:rFonts w:ascii="Times New Roman" w:hAnsi="Times New Roman"/>
          <w:sz w:val="24"/>
          <w:szCs w:val="24"/>
          <w:lang w:eastAsia="tr-TR"/>
        </w:rPr>
        <w:t>IIb</w:t>
      </w:r>
      <w:proofErr w:type="spellEnd"/>
      <w:r w:rsidRPr="00FB5B28">
        <w:rPr>
          <w:rFonts w:ascii="Times New Roman" w:hAnsi="Times New Roman"/>
          <w:sz w:val="24"/>
          <w:szCs w:val="24"/>
          <w:lang w:eastAsia="tr-TR"/>
        </w:rPr>
        <w:t xml:space="preserve">: prosocial values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religious belief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support for redistribution versus c</w:t>
      </w:r>
      <w:r w:rsidRPr="00FB5B28">
        <w:rPr>
          <w:rFonts w:ascii="Times New Roman" w:hAnsi="Times New Roman"/>
          <w:sz w:val="24"/>
          <w:szCs w:val="24"/>
        </w:rPr>
        <w:t>onservative identification</w:t>
      </w:r>
      <w:r w:rsidRPr="00FB5B28">
        <w:rPr>
          <w:rFonts w:ascii="Times New Roman" w:hAnsi="Times New Roman"/>
          <w:sz w:val="24"/>
          <w:szCs w:val="24"/>
          <w:lang w:eastAsia="tr-TR"/>
        </w:rPr>
        <w:t xml:space="preserve">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religious social behavior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support for redistribution versus happiness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religious social behavior </w:t>
      </w:r>
      <w:r w:rsidRPr="00FB5B28">
        <w:rPr>
          <w:rFonts w:ascii="Times New Roman" w:hAnsi="Times New Roman"/>
          <w:sz w:val="24"/>
          <w:szCs w:val="24"/>
          <w:lang w:eastAsia="tr-TR"/>
        </w:rPr>
        <w:sym w:font="Wingdings" w:char="F0E0"/>
      </w:r>
      <w:r w:rsidRPr="00FB5B28">
        <w:rPr>
          <w:rFonts w:ascii="Times New Roman" w:hAnsi="Times New Roman"/>
          <w:sz w:val="24"/>
          <w:szCs w:val="24"/>
          <w:lang w:eastAsia="tr-TR"/>
        </w:rPr>
        <w:t xml:space="preserve"> support for redistribution). </w:t>
      </w:r>
    </w:p>
    <w:p w:rsidR="005630B3" w:rsidRDefault="005630B3" w:rsidP="005630B3">
      <w:pPr>
        <w:ind w:firstLine="708"/>
        <w:rPr>
          <w:rFonts w:ascii="Times New Roman" w:hAnsi="Times New Roman"/>
          <w:sz w:val="24"/>
          <w:szCs w:val="24"/>
        </w:rPr>
      </w:pPr>
      <w:r w:rsidRPr="00FB5B28">
        <w:rPr>
          <w:rFonts w:ascii="Times New Roman" w:hAnsi="Times New Roman"/>
          <w:i/>
          <w:sz w:val="24"/>
          <w:szCs w:val="24"/>
        </w:rPr>
        <w:t xml:space="preserve">Models </w:t>
      </w:r>
      <w:proofErr w:type="spellStart"/>
      <w:r w:rsidRPr="00FB5B28">
        <w:rPr>
          <w:rFonts w:ascii="Times New Roman" w:hAnsi="Times New Roman"/>
          <w:i/>
          <w:sz w:val="24"/>
          <w:szCs w:val="24"/>
        </w:rPr>
        <w:t>IIIa</w:t>
      </w:r>
      <w:proofErr w:type="spellEnd"/>
      <w:r w:rsidRPr="00FB5B28">
        <w:rPr>
          <w:rFonts w:ascii="Times New Roman" w:hAnsi="Times New Roman"/>
          <w:i/>
          <w:sz w:val="24"/>
          <w:szCs w:val="24"/>
        </w:rPr>
        <w:t xml:space="preserve"> and </w:t>
      </w:r>
      <w:proofErr w:type="spellStart"/>
      <w:r w:rsidRPr="00FB5B28">
        <w:rPr>
          <w:rFonts w:ascii="Times New Roman" w:hAnsi="Times New Roman"/>
          <w:i/>
          <w:sz w:val="24"/>
          <w:szCs w:val="24"/>
        </w:rPr>
        <w:t>IIIb</w:t>
      </w:r>
      <w:proofErr w:type="spellEnd"/>
      <w:r w:rsidRPr="00FB5B28">
        <w:rPr>
          <w:rFonts w:ascii="Times New Roman" w:hAnsi="Times New Roman"/>
          <w:i/>
          <w:sz w:val="24"/>
          <w:szCs w:val="24"/>
        </w:rPr>
        <w:t xml:space="preserve"> (DV as mediator).</w:t>
      </w:r>
      <w:r w:rsidRPr="00FB5B28">
        <w:rPr>
          <w:rFonts w:ascii="Times New Roman" w:hAnsi="Times New Roman"/>
          <w:sz w:val="24"/>
          <w:szCs w:val="24"/>
        </w:rPr>
        <w:t xml:space="preserve"> We also ran models in which religious belief and religious social behavior directly affect attitudes towards redistribution. The first of these models specifies support for redistribution as a mediator between religious belief and conservative identification (Model </w:t>
      </w:r>
      <w:proofErr w:type="spellStart"/>
      <w:r w:rsidRPr="00FB5B28">
        <w:rPr>
          <w:rFonts w:ascii="Times New Roman" w:hAnsi="Times New Roman"/>
          <w:sz w:val="24"/>
          <w:szCs w:val="24"/>
        </w:rPr>
        <w:t>IIIa</w:t>
      </w:r>
      <w:proofErr w:type="spellEnd"/>
      <w:r w:rsidRPr="00FB5B28">
        <w:rPr>
          <w:rFonts w:ascii="Times New Roman" w:hAnsi="Times New Roman"/>
          <w:sz w:val="24"/>
          <w:szCs w:val="24"/>
        </w:rPr>
        <w:t xml:space="preserve">: religious belief </w:t>
      </w:r>
      <w:r w:rsidRPr="00FB5B28">
        <w:rPr>
          <w:rFonts w:ascii="Times New Roman" w:hAnsi="Times New Roman"/>
          <w:sz w:val="24"/>
          <w:szCs w:val="24"/>
        </w:rPr>
        <w:sym w:font="Wingdings" w:char="F0E0"/>
      </w:r>
      <w:r w:rsidRPr="00FB5B28">
        <w:rPr>
          <w:rFonts w:ascii="Times New Roman" w:hAnsi="Times New Roman"/>
          <w:sz w:val="24"/>
          <w:szCs w:val="24"/>
        </w:rPr>
        <w:t xml:space="preserve"> </w:t>
      </w:r>
      <w:r w:rsidRPr="00FB5B28">
        <w:rPr>
          <w:rFonts w:ascii="Times New Roman" w:hAnsi="Times New Roman"/>
          <w:sz w:val="24"/>
          <w:szCs w:val="24"/>
          <w:lang w:eastAsia="tr-TR"/>
        </w:rPr>
        <w:t>support for redistribution</w:t>
      </w:r>
      <w:r w:rsidRPr="00FB5B28">
        <w:rPr>
          <w:rFonts w:ascii="Times New Roman" w:hAnsi="Times New Roman"/>
          <w:sz w:val="24"/>
          <w:szCs w:val="24"/>
        </w:rPr>
        <w:t xml:space="preserve"> </w:t>
      </w:r>
      <w:r w:rsidRPr="00FB5B28">
        <w:rPr>
          <w:rFonts w:ascii="Times New Roman" w:hAnsi="Times New Roman"/>
          <w:sz w:val="24"/>
          <w:szCs w:val="24"/>
        </w:rPr>
        <w:sym w:font="Wingdings" w:char="F0E0"/>
      </w:r>
      <w:r w:rsidRPr="00FB5B28">
        <w:rPr>
          <w:rFonts w:ascii="Times New Roman" w:hAnsi="Times New Roman"/>
          <w:sz w:val="24"/>
          <w:szCs w:val="24"/>
        </w:rPr>
        <w:t xml:space="preserve"> conservative identification versus religious social behavior </w:t>
      </w:r>
      <w:r w:rsidRPr="00FB5B28">
        <w:rPr>
          <w:rFonts w:ascii="Times New Roman" w:hAnsi="Times New Roman"/>
          <w:sz w:val="24"/>
          <w:szCs w:val="24"/>
        </w:rPr>
        <w:sym w:font="Wingdings" w:char="F0E0"/>
      </w:r>
      <w:r w:rsidRPr="00FB5B28">
        <w:rPr>
          <w:rFonts w:ascii="Times New Roman" w:hAnsi="Times New Roman"/>
          <w:sz w:val="24"/>
          <w:szCs w:val="24"/>
        </w:rPr>
        <w:t xml:space="preserve"> </w:t>
      </w:r>
      <w:r w:rsidRPr="00FB5B28">
        <w:rPr>
          <w:rFonts w:ascii="Times New Roman" w:hAnsi="Times New Roman"/>
          <w:sz w:val="24"/>
          <w:szCs w:val="24"/>
          <w:lang w:eastAsia="tr-TR"/>
        </w:rPr>
        <w:t>support for redistribution</w:t>
      </w:r>
      <w:r w:rsidRPr="00FB5B28">
        <w:rPr>
          <w:rFonts w:ascii="Times New Roman" w:hAnsi="Times New Roman"/>
          <w:sz w:val="24"/>
          <w:szCs w:val="24"/>
        </w:rPr>
        <w:t xml:space="preserve"> </w:t>
      </w:r>
      <w:r w:rsidRPr="00FB5B28">
        <w:rPr>
          <w:rFonts w:ascii="Times New Roman" w:hAnsi="Times New Roman"/>
          <w:sz w:val="24"/>
          <w:szCs w:val="24"/>
        </w:rPr>
        <w:sym w:font="Wingdings" w:char="F0E0"/>
      </w:r>
      <w:r w:rsidRPr="00FB5B28">
        <w:rPr>
          <w:rFonts w:ascii="Times New Roman" w:hAnsi="Times New Roman"/>
          <w:sz w:val="24"/>
          <w:szCs w:val="24"/>
        </w:rPr>
        <w:t xml:space="preserve"> happiness versus religious social behavior </w:t>
      </w:r>
      <w:r w:rsidRPr="00FB5B28">
        <w:rPr>
          <w:rFonts w:ascii="Times New Roman" w:hAnsi="Times New Roman"/>
          <w:sz w:val="24"/>
          <w:szCs w:val="24"/>
        </w:rPr>
        <w:sym w:font="Wingdings" w:char="F0E0"/>
      </w:r>
      <w:r w:rsidRPr="00FB5B28">
        <w:rPr>
          <w:rFonts w:ascii="Times New Roman" w:hAnsi="Times New Roman"/>
          <w:sz w:val="24"/>
          <w:szCs w:val="24"/>
        </w:rPr>
        <w:t xml:space="preserve"> </w:t>
      </w:r>
      <w:r w:rsidRPr="00FB5B28">
        <w:rPr>
          <w:rFonts w:ascii="Times New Roman" w:hAnsi="Times New Roman"/>
          <w:sz w:val="24"/>
          <w:szCs w:val="24"/>
          <w:lang w:eastAsia="tr-TR"/>
        </w:rPr>
        <w:t>support for redistribution</w:t>
      </w:r>
      <w:r w:rsidRPr="00FB5B28">
        <w:rPr>
          <w:rFonts w:ascii="Times New Roman" w:hAnsi="Times New Roman"/>
          <w:sz w:val="24"/>
          <w:szCs w:val="24"/>
        </w:rPr>
        <w:t xml:space="preserve"> </w:t>
      </w:r>
      <w:r w:rsidRPr="00FB5B28">
        <w:rPr>
          <w:rFonts w:ascii="Times New Roman" w:hAnsi="Times New Roman"/>
          <w:sz w:val="24"/>
          <w:szCs w:val="24"/>
        </w:rPr>
        <w:sym w:font="Wingdings" w:char="F0E0"/>
      </w:r>
      <w:r w:rsidRPr="00FB5B28">
        <w:rPr>
          <w:rFonts w:ascii="Times New Roman" w:hAnsi="Times New Roman"/>
          <w:sz w:val="24"/>
          <w:szCs w:val="24"/>
        </w:rPr>
        <w:t xml:space="preserve"> prosocial values) while the second considers it as a mediator between religious social behavior and conservative identification (Model </w:t>
      </w:r>
      <w:proofErr w:type="spellStart"/>
      <w:r w:rsidRPr="00FB5B28">
        <w:rPr>
          <w:rFonts w:ascii="Times New Roman" w:hAnsi="Times New Roman"/>
          <w:sz w:val="24"/>
          <w:szCs w:val="24"/>
        </w:rPr>
        <w:t>IIIb</w:t>
      </w:r>
      <w:proofErr w:type="spellEnd"/>
      <w:r w:rsidRPr="00FB5B28">
        <w:rPr>
          <w:rFonts w:ascii="Times New Roman" w:hAnsi="Times New Roman"/>
          <w:sz w:val="24"/>
          <w:szCs w:val="24"/>
        </w:rPr>
        <w:t xml:space="preserve">: religious social behavior </w:t>
      </w:r>
      <w:r w:rsidRPr="00FB5B28">
        <w:rPr>
          <w:rFonts w:ascii="Times New Roman" w:hAnsi="Times New Roman"/>
          <w:sz w:val="24"/>
          <w:szCs w:val="24"/>
        </w:rPr>
        <w:sym w:font="Wingdings" w:char="F0E0"/>
      </w:r>
      <w:r w:rsidRPr="00FB5B28">
        <w:rPr>
          <w:rFonts w:ascii="Times New Roman" w:hAnsi="Times New Roman"/>
          <w:sz w:val="24"/>
          <w:szCs w:val="24"/>
        </w:rPr>
        <w:t xml:space="preserve"> </w:t>
      </w:r>
      <w:r w:rsidRPr="00FB5B28">
        <w:rPr>
          <w:rFonts w:ascii="Times New Roman" w:hAnsi="Times New Roman"/>
          <w:sz w:val="24"/>
          <w:szCs w:val="24"/>
          <w:lang w:eastAsia="tr-TR"/>
        </w:rPr>
        <w:t>support for redistribution</w:t>
      </w:r>
      <w:r w:rsidRPr="00FB5B28">
        <w:rPr>
          <w:rFonts w:ascii="Times New Roman" w:hAnsi="Times New Roman"/>
          <w:sz w:val="24"/>
          <w:szCs w:val="24"/>
        </w:rPr>
        <w:t xml:space="preserve"> </w:t>
      </w:r>
      <w:r w:rsidRPr="00FB5B28">
        <w:rPr>
          <w:rFonts w:ascii="Times New Roman" w:hAnsi="Times New Roman"/>
          <w:sz w:val="24"/>
          <w:szCs w:val="24"/>
        </w:rPr>
        <w:sym w:font="Wingdings" w:char="F0E0"/>
      </w:r>
      <w:r w:rsidRPr="00FB5B28">
        <w:rPr>
          <w:rFonts w:ascii="Times New Roman" w:hAnsi="Times New Roman"/>
          <w:sz w:val="24"/>
          <w:szCs w:val="24"/>
        </w:rPr>
        <w:t xml:space="preserve"> conservative identification versus religious belief </w:t>
      </w:r>
      <w:r w:rsidRPr="00FB5B28">
        <w:rPr>
          <w:rFonts w:ascii="Times New Roman" w:hAnsi="Times New Roman"/>
          <w:sz w:val="24"/>
          <w:szCs w:val="24"/>
        </w:rPr>
        <w:sym w:font="Wingdings" w:char="F0E0"/>
      </w:r>
      <w:r w:rsidRPr="00FB5B28">
        <w:rPr>
          <w:rFonts w:ascii="Times New Roman" w:hAnsi="Times New Roman"/>
          <w:sz w:val="24"/>
          <w:szCs w:val="24"/>
        </w:rPr>
        <w:t xml:space="preserve"> </w:t>
      </w:r>
      <w:r w:rsidRPr="00FB5B28">
        <w:rPr>
          <w:rFonts w:ascii="Times New Roman" w:hAnsi="Times New Roman"/>
          <w:sz w:val="24"/>
          <w:szCs w:val="24"/>
          <w:lang w:eastAsia="tr-TR"/>
        </w:rPr>
        <w:t>support for redistribution</w:t>
      </w:r>
      <w:r w:rsidRPr="00FB5B28">
        <w:rPr>
          <w:rFonts w:ascii="Times New Roman" w:hAnsi="Times New Roman"/>
          <w:sz w:val="24"/>
          <w:szCs w:val="24"/>
        </w:rPr>
        <w:t xml:space="preserve"> </w:t>
      </w:r>
      <w:r w:rsidRPr="00FB5B28">
        <w:rPr>
          <w:rFonts w:ascii="Times New Roman" w:hAnsi="Times New Roman"/>
          <w:sz w:val="24"/>
          <w:szCs w:val="24"/>
        </w:rPr>
        <w:sym w:font="Wingdings" w:char="F0E0"/>
      </w:r>
      <w:r w:rsidRPr="00FB5B28">
        <w:rPr>
          <w:rFonts w:ascii="Times New Roman" w:hAnsi="Times New Roman"/>
          <w:sz w:val="24"/>
          <w:szCs w:val="24"/>
        </w:rPr>
        <w:t xml:space="preserve"> happiness and prosocial values). </w:t>
      </w:r>
    </w:p>
    <w:p w:rsidR="005630B3" w:rsidRDefault="005630B3" w:rsidP="005630B3">
      <w:pPr>
        <w:ind w:firstLine="720"/>
        <w:rPr>
          <w:rFonts w:ascii="Times New Roman" w:hAnsi="Times New Roman"/>
          <w:sz w:val="24"/>
          <w:szCs w:val="24"/>
        </w:rPr>
      </w:pPr>
      <w:r w:rsidRPr="00FB5B28">
        <w:rPr>
          <w:rFonts w:ascii="Times New Roman" w:hAnsi="Times New Roman"/>
          <w:i/>
          <w:sz w:val="24"/>
          <w:szCs w:val="24"/>
        </w:rPr>
        <w:t xml:space="preserve">Models </w:t>
      </w:r>
      <w:proofErr w:type="spellStart"/>
      <w:r w:rsidRPr="00FB5B28">
        <w:rPr>
          <w:rFonts w:ascii="Times New Roman" w:hAnsi="Times New Roman"/>
          <w:i/>
          <w:sz w:val="24"/>
          <w:szCs w:val="24"/>
        </w:rPr>
        <w:t>IVa</w:t>
      </w:r>
      <w:proofErr w:type="spellEnd"/>
      <w:r w:rsidRPr="00FB5B28">
        <w:rPr>
          <w:rFonts w:ascii="Times New Roman" w:hAnsi="Times New Roman"/>
          <w:i/>
          <w:sz w:val="24"/>
          <w:szCs w:val="24"/>
        </w:rPr>
        <w:t xml:space="preserve"> and </w:t>
      </w:r>
      <w:proofErr w:type="spellStart"/>
      <w:r w:rsidRPr="00FB5B28">
        <w:rPr>
          <w:rFonts w:ascii="Times New Roman" w:hAnsi="Times New Roman"/>
          <w:i/>
          <w:sz w:val="24"/>
          <w:szCs w:val="24"/>
        </w:rPr>
        <w:t>IVb</w:t>
      </w:r>
      <w:proofErr w:type="spellEnd"/>
      <w:r w:rsidRPr="00FB5B28">
        <w:rPr>
          <w:rFonts w:ascii="Times New Roman" w:hAnsi="Times New Roman"/>
          <w:i/>
          <w:sz w:val="24"/>
          <w:szCs w:val="24"/>
        </w:rPr>
        <w:t xml:space="preserve"> (Further mediation checks). </w:t>
      </w:r>
      <w:r w:rsidRPr="00FB5B28">
        <w:rPr>
          <w:rFonts w:ascii="Times New Roman" w:hAnsi="Times New Roman"/>
          <w:sz w:val="24"/>
          <w:szCs w:val="24"/>
        </w:rPr>
        <w:t xml:space="preserve">Finally, since both the belief and social behavior dimensions of religiosity are closely related, both dimensions could potentially influence all three mediators. To test for this, we specified two more alternative models. Model </w:t>
      </w:r>
      <w:proofErr w:type="spellStart"/>
      <w:r w:rsidRPr="00FB5B28">
        <w:rPr>
          <w:rFonts w:ascii="Times New Roman" w:hAnsi="Times New Roman"/>
          <w:sz w:val="24"/>
          <w:szCs w:val="24"/>
        </w:rPr>
        <w:t>IVa</w:t>
      </w:r>
      <w:proofErr w:type="spellEnd"/>
      <w:r w:rsidRPr="00FB5B28">
        <w:rPr>
          <w:rFonts w:ascii="Times New Roman" w:hAnsi="Times New Roman"/>
          <w:sz w:val="24"/>
          <w:szCs w:val="24"/>
        </w:rPr>
        <w:t xml:space="preserve"> in Table A</w:t>
      </w:r>
      <w:r>
        <w:rPr>
          <w:rFonts w:ascii="Times New Roman" w:hAnsi="Times New Roman"/>
          <w:sz w:val="24"/>
          <w:szCs w:val="24"/>
        </w:rPr>
        <w:t>6</w:t>
      </w:r>
      <w:r w:rsidRPr="00FB5B28">
        <w:rPr>
          <w:rFonts w:ascii="Times New Roman" w:hAnsi="Times New Roman"/>
          <w:sz w:val="24"/>
          <w:szCs w:val="24"/>
        </w:rPr>
        <w:t xml:space="preserve"> replaces two separate religiosity dimensions with a general religiosity index, calculated by summing the belief and behavior dimensions as an additive index. We then tested whether the effect of this simple index is mediated by prosocial values, conservative identification, and happiness at the same time. Finally, Model </w:t>
      </w:r>
      <w:proofErr w:type="spellStart"/>
      <w:r w:rsidRPr="00FB5B28">
        <w:rPr>
          <w:rFonts w:ascii="Times New Roman" w:hAnsi="Times New Roman"/>
          <w:sz w:val="24"/>
          <w:szCs w:val="24"/>
        </w:rPr>
        <w:t>IVb</w:t>
      </w:r>
      <w:proofErr w:type="spellEnd"/>
      <w:r w:rsidRPr="00FB5B28">
        <w:rPr>
          <w:rFonts w:ascii="Times New Roman" w:hAnsi="Times New Roman"/>
          <w:sz w:val="24"/>
          <w:szCs w:val="24"/>
        </w:rPr>
        <w:t xml:space="preserve"> tested whether the two separate dimensions are mediated by all three variables at the same time. That is, we specified prosocial values, conservative identification, and happiness as mediators of both religiosity dimensions at the same time. </w:t>
      </w:r>
    </w:p>
    <w:p w:rsidR="005630B3" w:rsidRPr="00FB5B28" w:rsidRDefault="005630B3" w:rsidP="005630B3">
      <w:pPr>
        <w:ind w:firstLine="720"/>
        <w:rPr>
          <w:rFonts w:ascii="Times New Roman" w:hAnsi="Times New Roman"/>
          <w:sz w:val="24"/>
          <w:szCs w:val="24"/>
        </w:rPr>
      </w:pPr>
      <w:r w:rsidRPr="00FB5B28">
        <w:rPr>
          <w:rFonts w:ascii="Times New Roman" w:hAnsi="Times New Roman"/>
          <w:sz w:val="24"/>
          <w:szCs w:val="24"/>
        </w:rPr>
        <w:t xml:space="preserve">The goodness of fit indicators of </w:t>
      </w:r>
      <w:r>
        <w:rPr>
          <w:rFonts w:ascii="Times New Roman" w:hAnsi="Times New Roman"/>
          <w:sz w:val="24"/>
          <w:szCs w:val="24"/>
        </w:rPr>
        <w:t>the</w:t>
      </w:r>
      <w:r w:rsidRPr="00FB5B28">
        <w:rPr>
          <w:rFonts w:ascii="Times New Roman" w:hAnsi="Times New Roman"/>
          <w:sz w:val="24"/>
          <w:szCs w:val="24"/>
        </w:rPr>
        <w:t xml:space="preserve"> alternative models suggest that these specifications do not fit the data as well as the hypothesized model</w:t>
      </w:r>
      <w:r>
        <w:rPr>
          <w:rFonts w:ascii="Times New Roman" w:hAnsi="Times New Roman"/>
          <w:sz w:val="24"/>
          <w:szCs w:val="24"/>
        </w:rPr>
        <w:t xml:space="preserve"> (Table S6)</w:t>
      </w:r>
      <w:r w:rsidRPr="00FB5B28">
        <w:rPr>
          <w:rFonts w:ascii="Times New Roman" w:hAnsi="Times New Roman"/>
          <w:sz w:val="24"/>
          <w:szCs w:val="24"/>
        </w:rPr>
        <w:t>. In all the alternative models, CFI and TLI were lower than those of the original specifications and, in most cases, were well below the acceptable threshold of .95 or even .9</w:t>
      </w:r>
      <w:r>
        <w:rPr>
          <w:rFonts w:ascii="Times New Roman" w:hAnsi="Times New Roman"/>
          <w:sz w:val="24"/>
          <w:szCs w:val="24"/>
        </w:rPr>
        <w:t xml:space="preserve">0 </w:t>
      </w:r>
      <w:r w:rsidR="003D01EE">
        <w:rPr>
          <w:rFonts w:ascii="Times New Roman" w:hAnsi="Times New Roman"/>
          <w:sz w:val="24"/>
          <w:szCs w:val="24"/>
        </w:rPr>
        <w:fldChar w:fldCharType="begin"/>
      </w:r>
      <w:r w:rsidR="003D01EE">
        <w:rPr>
          <w:rFonts w:ascii="Times New Roman" w:hAnsi="Times New Roman"/>
          <w:sz w:val="24"/>
          <w:szCs w:val="24"/>
        </w:rPr>
        <w:instrText xml:space="preserve"> ADDIN EN.CITE &lt;EndNote&gt;&lt;Cite&gt;&lt;Author&gt;Kline&lt;/Author&gt;&lt;Year&gt;2011&lt;/Year&gt;&lt;RecNum&gt;67&lt;/RecNum&gt;&lt;DisplayText&gt;(Kline, 2011)&lt;/DisplayText&gt;&lt;record&gt;&lt;rec-number&gt;67&lt;/rec-number&gt;&lt;foreign-keys&gt;&lt;key app="EN" db-id="wpdvtsapwpz028eswpzxrv0yxst0p2pv009a" timestamp="1538655245"&gt;67&lt;/key&gt;&lt;/foreign-keys&gt;&lt;ref-type name="Book"&gt;6&lt;/ref-type&gt;&lt;contributors&gt;&lt;authors&gt;&lt;author&gt;Kline, R.B.&lt;/author&gt;&lt;/authors&gt;&lt;/contributors&gt;&lt;titles&gt;&lt;title&gt;Principles and Practice of Structural Equation Modeling&lt;/title&gt;&lt;/titles&gt;&lt;edition&gt;Third&lt;/edition&gt;&lt;dates&gt;&lt;year&gt;2011&lt;/year&gt;&lt;/dates&gt;&lt;pub-location&gt;New York&lt;/pub-location&gt;&lt;publisher&gt;Guilford Press&lt;/publisher&gt;&lt;urls&gt;&lt;/urls&gt;&lt;/record&gt;&lt;/Cite&gt;&lt;/EndNote&gt;</w:instrText>
      </w:r>
      <w:r w:rsidR="003D01EE">
        <w:rPr>
          <w:rFonts w:ascii="Times New Roman" w:hAnsi="Times New Roman"/>
          <w:sz w:val="24"/>
          <w:szCs w:val="24"/>
        </w:rPr>
        <w:fldChar w:fldCharType="separate"/>
      </w:r>
      <w:r w:rsidR="003D01EE">
        <w:rPr>
          <w:rFonts w:ascii="Times New Roman" w:hAnsi="Times New Roman"/>
          <w:noProof/>
          <w:sz w:val="24"/>
          <w:szCs w:val="24"/>
        </w:rPr>
        <w:t>(Kline, 2011)</w:t>
      </w:r>
      <w:r w:rsidR="003D01EE">
        <w:rPr>
          <w:rFonts w:ascii="Times New Roman" w:hAnsi="Times New Roman"/>
          <w:sz w:val="24"/>
          <w:szCs w:val="24"/>
        </w:rPr>
        <w:fldChar w:fldCharType="end"/>
      </w:r>
      <w:r w:rsidRPr="00FB5B28">
        <w:rPr>
          <w:rFonts w:ascii="Times New Roman" w:hAnsi="Times New Roman"/>
          <w:sz w:val="24"/>
          <w:szCs w:val="24"/>
        </w:rPr>
        <w:t xml:space="preserve"> as well as for SRMR</w:t>
      </w:r>
      <w:r w:rsidR="003D01EE">
        <w:rPr>
          <w:rFonts w:ascii="Times New Roman" w:hAnsi="Times New Roman"/>
          <w:sz w:val="24"/>
          <w:szCs w:val="24"/>
        </w:rPr>
        <w:t xml:space="preserve"> </w:t>
      </w:r>
      <w:r w:rsidR="003D01EE">
        <w:rPr>
          <w:rFonts w:ascii="Times New Roman" w:hAnsi="Times New Roman"/>
          <w:sz w:val="24"/>
          <w:szCs w:val="24"/>
        </w:rPr>
        <w:fldChar w:fldCharType="begin"/>
      </w:r>
      <w:r w:rsidR="003D01EE">
        <w:rPr>
          <w:rFonts w:ascii="Times New Roman" w:hAnsi="Times New Roman"/>
          <w:sz w:val="24"/>
          <w:szCs w:val="24"/>
        </w:rPr>
        <w:instrText xml:space="preserve"> ADDIN EN.CITE &lt;EndNote&gt;&lt;Cite&gt;&lt;Author&gt;Hu&lt;/Author&gt;&lt;Year&gt;1999&lt;/Year&gt;&lt;RecNum&gt;142&lt;/RecNum&gt;&lt;DisplayText&gt;(Hu &amp;amp; Bentler, 1999)&lt;/DisplayText&gt;&lt;record&gt;&lt;rec-number&gt;142&lt;/rec-number&gt;&lt;foreign-keys&gt;&lt;key app="EN" db-id="wpdvtsapwpz028eswpzxrv0yxst0p2pv009a" timestamp="1538668647"&gt;142&lt;/key&gt;&lt;/foreign-keys&gt;&lt;ref-type name="Journal Article"&gt;17&lt;/ref-type&gt;&lt;contributors&gt;&lt;authors&gt;&lt;author&gt;Hu, L. T.&lt;/author&gt;&lt;author&gt;Bentler, P. M.&lt;/author&gt;&lt;/authors&gt;&lt;/contributors&gt;&lt;auth-address&gt;Univ Calif Santa Cruz, Dept Psychol, Santa Cruz, CA 95064 USA&amp;#xD;Univ Calif Los Angeles, Dept Psychol, Los Angeles, CA 90024 USA&lt;/auth-address&gt;&lt;titles&gt;&lt;title&gt;Cutoff Criteria for Fit Indexes in Covariance Structure Analysis: Conventional Criteria Versus New Alternatives&lt;/title&gt;&lt;secondary-title&gt;Structural Equation Modeling-a Multidisciplinary Journal&lt;/secondary-title&gt;&lt;alt-title&gt;Struct Equ Modeling&lt;/alt-title&gt;&lt;/titles&gt;&lt;periodical&gt;&lt;full-title&gt;Structural Equation Modeling-a Multidisciplinary Journal&lt;/full-title&gt;&lt;abbr-1&gt;Struct Equ Modeling&lt;/abbr-1&gt;&lt;/periodical&gt;&lt;alt-periodical&gt;&lt;full-title&gt;Structural Equation Modeling-a Multidisciplinary Journal&lt;/full-title&gt;&lt;abbr-1&gt;Struct Equ Modeling&lt;/abbr-1&gt;&lt;/alt-periodical&gt;&lt;pages&gt;1-55&lt;/pages&gt;&lt;volume&gt;6&lt;/volume&gt;&lt;number&gt;1&lt;/number&gt;&lt;keywords&gt;&lt;keyword&gt;goodness-of-fit&lt;/keyword&gt;&lt;keyword&gt;confirmatory factor-analysis&lt;/keyword&gt;&lt;keyword&gt;likelihood factor-analysis&lt;/keyword&gt;&lt;keyword&gt;sample-size&lt;/keyword&gt;&lt;keyword&gt;equation models&lt;/keyword&gt;&lt;keyword&gt;cross-validation&lt;/keyword&gt;&lt;keyword&gt;test statistics&lt;/keyword&gt;&lt;keyword&gt;robustness&lt;/keyword&gt;&lt;keyword&gt;specification&lt;/keyword&gt;&lt;keyword&gt;noncentrality&lt;/keyword&gt;&lt;/keywords&gt;&lt;dates&gt;&lt;year&gt;1999&lt;/year&gt;&lt;/dates&gt;&lt;isbn&gt;1070-5511&lt;/isbn&gt;&lt;accession-num&gt;WOS:000208063500001&lt;/accession-num&gt;&lt;urls&gt;&lt;related-urls&gt;&lt;url&gt;&amp;lt;Go to ISI&amp;gt;://WOS:000208063500001&lt;/url&gt;&lt;/related-urls&gt;&lt;/urls&gt;&lt;electronic-resource-num&gt;10.1080/10705519909540118&lt;/electronic-resource-num&gt;&lt;language&gt;English&lt;/language&gt;&lt;/record&gt;&lt;/Cite&gt;&lt;/EndNote&gt;</w:instrText>
      </w:r>
      <w:r w:rsidR="003D01EE">
        <w:rPr>
          <w:rFonts w:ascii="Times New Roman" w:hAnsi="Times New Roman"/>
          <w:sz w:val="24"/>
          <w:szCs w:val="24"/>
        </w:rPr>
        <w:fldChar w:fldCharType="separate"/>
      </w:r>
      <w:r w:rsidR="003D01EE">
        <w:rPr>
          <w:rFonts w:ascii="Times New Roman" w:hAnsi="Times New Roman"/>
          <w:noProof/>
          <w:sz w:val="24"/>
          <w:szCs w:val="24"/>
        </w:rPr>
        <w:t>(Hu &amp; Bentler, 1999)</w:t>
      </w:r>
      <w:r w:rsidR="003D01EE">
        <w:rPr>
          <w:rFonts w:ascii="Times New Roman" w:hAnsi="Times New Roman"/>
          <w:sz w:val="24"/>
          <w:szCs w:val="24"/>
        </w:rPr>
        <w:fldChar w:fldCharType="end"/>
      </w:r>
      <w:r w:rsidRPr="00FB5B28">
        <w:rPr>
          <w:rFonts w:ascii="Times New Roman" w:hAnsi="Times New Roman"/>
          <w:sz w:val="24"/>
          <w:szCs w:val="24"/>
        </w:rPr>
        <w:t xml:space="preserve">. These results indicate that the original specification is </w:t>
      </w:r>
      <w:r w:rsidRPr="00FB5B28">
        <w:rPr>
          <w:rFonts w:ascii="Times New Roman" w:hAnsi="Times New Roman"/>
          <w:sz w:val="24"/>
          <w:szCs w:val="24"/>
        </w:rPr>
        <w:lastRenderedPageBreak/>
        <w:t xml:space="preserve">statistically superior, which provides further support for the hypothesized mediation effects of religiosity dimensions.  </w:t>
      </w:r>
    </w:p>
    <w:p w:rsidR="005630B3" w:rsidRPr="00FB5B28" w:rsidRDefault="005630B3" w:rsidP="005630B3">
      <w:pPr>
        <w:ind w:firstLine="708"/>
        <w:rPr>
          <w:rFonts w:ascii="Times New Roman" w:hAnsi="Times New Roman"/>
          <w:b/>
          <w:bCs/>
          <w:sz w:val="24"/>
          <w:szCs w:val="24"/>
        </w:rPr>
      </w:pPr>
      <w:r w:rsidRPr="00FB5B28">
        <w:rPr>
          <w:rFonts w:ascii="Times New Roman" w:hAnsi="Times New Roman"/>
          <w:b/>
          <w:bCs/>
          <w:sz w:val="24"/>
          <w:szCs w:val="24"/>
        </w:rPr>
        <w:t xml:space="preserve">Table </w:t>
      </w:r>
      <w:r>
        <w:rPr>
          <w:rFonts w:ascii="Times New Roman" w:hAnsi="Times New Roman"/>
          <w:b/>
          <w:bCs/>
          <w:sz w:val="24"/>
          <w:szCs w:val="24"/>
        </w:rPr>
        <w:t>S5</w:t>
      </w:r>
      <w:r w:rsidRPr="00FB5B28">
        <w:rPr>
          <w:rFonts w:ascii="Times New Roman" w:hAnsi="Times New Roman"/>
          <w:b/>
          <w:bCs/>
          <w:sz w:val="24"/>
          <w:szCs w:val="24"/>
        </w:rPr>
        <w:t>. Fit Indices for Alternative Specifications</w:t>
      </w:r>
    </w:p>
    <w:tbl>
      <w:tblPr>
        <w:tblW w:w="7179" w:type="dxa"/>
        <w:tblInd w:w="761" w:type="dxa"/>
        <w:tblBorders>
          <w:top w:val="single" w:sz="8" w:space="0" w:color="000000"/>
          <w:bottom w:val="single" w:sz="8" w:space="0" w:color="000000"/>
        </w:tblBorders>
        <w:tblLook w:val="04A0" w:firstRow="1" w:lastRow="0" w:firstColumn="1" w:lastColumn="0" w:noHBand="0" w:noVBand="1"/>
      </w:tblPr>
      <w:tblGrid>
        <w:gridCol w:w="2320"/>
        <w:gridCol w:w="1266"/>
        <w:gridCol w:w="730"/>
        <w:gridCol w:w="708"/>
        <w:gridCol w:w="939"/>
        <w:gridCol w:w="1216"/>
      </w:tblGrid>
      <w:tr w:rsidR="005630B3" w:rsidRPr="00FB5B28" w:rsidTr="00D84060">
        <w:trPr>
          <w:trHeight w:val="300"/>
        </w:trPr>
        <w:tc>
          <w:tcPr>
            <w:tcW w:w="2320" w:type="dxa"/>
            <w:tcBorders>
              <w:top w:val="single" w:sz="8" w:space="0" w:color="000000"/>
              <w:bottom w:val="single" w:sz="8" w:space="0" w:color="000000"/>
            </w:tcBorders>
            <w:shd w:val="clear" w:color="auto" w:fill="auto"/>
            <w:noWrap/>
            <w:hideMark/>
          </w:tcPr>
          <w:p w:rsidR="005630B3" w:rsidRPr="00FB5B28" w:rsidRDefault="005630B3" w:rsidP="00D84060">
            <w:pPr>
              <w:spacing w:after="120" w:line="240" w:lineRule="auto"/>
              <w:jc w:val="right"/>
              <w:rPr>
                <w:rFonts w:ascii="Times New Roman" w:hAnsi="Times New Roman"/>
                <w:b/>
                <w:bCs/>
                <w:sz w:val="20"/>
                <w:szCs w:val="20"/>
              </w:rPr>
            </w:pPr>
          </w:p>
        </w:tc>
        <w:tc>
          <w:tcPr>
            <w:tcW w:w="1266" w:type="dxa"/>
            <w:tcBorders>
              <w:top w:val="single" w:sz="8" w:space="0" w:color="000000"/>
              <w:bottom w:val="single" w:sz="8" w:space="0" w:color="000000"/>
            </w:tcBorders>
          </w:tcPr>
          <w:p w:rsidR="005630B3" w:rsidRPr="00FB5B28" w:rsidRDefault="005630B3" w:rsidP="00D84060">
            <w:pPr>
              <w:spacing w:after="120" w:line="240" w:lineRule="auto"/>
              <w:rPr>
                <w:rFonts w:ascii="Times New Roman" w:hAnsi="Times New Roman"/>
                <w:b/>
                <w:bCs/>
                <w:sz w:val="20"/>
                <w:szCs w:val="20"/>
              </w:rPr>
            </w:pPr>
            <w:r w:rsidRPr="00FB5B28">
              <w:rPr>
                <w:rFonts w:ascii="Times New Roman" w:hAnsi="Times New Roman"/>
                <w:b/>
                <w:bCs/>
                <w:sz w:val="20"/>
                <w:szCs w:val="20"/>
              </w:rPr>
              <w:t xml:space="preserve">Chi2 test of model fit </w:t>
            </w:r>
          </w:p>
        </w:tc>
        <w:tc>
          <w:tcPr>
            <w:tcW w:w="730" w:type="dxa"/>
            <w:tcBorders>
              <w:top w:val="single" w:sz="8" w:space="0" w:color="000000"/>
              <w:bottom w:val="single" w:sz="8" w:space="0" w:color="000000"/>
            </w:tcBorders>
            <w:shd w:val="clear" w:color="auto" w:fill="auto"/>
            <w:noWrap/>
            <w:hideMark/>
          </w:tcPr>
          <w:p w:rsidR="005630B3" w:rsidRPr="00FB5B28" w:rsidRDefault="005630B3" w:rsidP="00D84060">
            <w:pPr>
              <w:spacing w:after="120" w:line="240" w:lineRule="auto"/>
              <w:rPr>
                <w:rFonts w:ascii="Times New Roman" w:hAnsi="Times New Roman"/>
                <w:b/>
                <w:bCs/>
                <w:sz w:val="20"/>
                <w:szCs w:val="20"/>
              </w:rPr>
            </w:pPr>
            <w:r w:rsidRPr="00FB5B28">
              <w:rPr>
                <w:rFonts w:ascii="Times New Roman" w:hAnsi="Times New Roman"/>
                <w:b/>
                <w:bCs/>
                <w:sz w:val="20"/>
                <w:szCs w:val="20"/>
              </w:rPr>
              <w:t>CFI</w:t>
            </w:r>
          </w:p>
        </w:tc>
        <w:tc>
          <w:tcPr>
            <w:tcW w:w="708" w:type="dxa"/>
            <w:tcBorders>
              <w:top w:val="single" w:sz="8" w:space="0" w:color="000000"/>
              <w:bottom w:val="single" w:sz="8" w:space="0" w:color="000000"/>
            </w:tcBorders>
            <w:shd w:val="clear" w:color="auto" w:fill="auto"/>
            <w:noWrap/>
            <w:hideMark/>
          </w:tcPr>
          <w:p w:rsidR="005630B3" w:rsidRPr="00FB5B28" w:rsidRDefault="005630B3" w:rsidP="00D84060">
            <w:pPr>
              <w:spacing w:after="120" w:line="240" w:lineRule="auto"/>
              <w:rPr>
                <w:rFonts w:ascii="Times New Roman" w:hAnsi="Times New Roman"/>
                <w:b/>
                <w:bCs/>
                <w:sz w:val="20"/>
                <w:szCs w:val="20"/>
              </w:rPr>
            </w:pPr>
            <w:r w:rsidRPr="00FB5B28">
              <w:rPr>
                <w:rFonts w:ascii="Times New Roman" w:hAnsi="Times New Roman"/>
                <w:b/>
                <w:bCs/>
                <w:sz w:val="20"/>
                <w:szCs w:val="20"/>
              </w:rPr>
              <w:t>TLI</w:t>
            </w:r>
          </w:p>
        </w:tc>
        <w:tc>
          <w:tcPr>
            <w:tcW w:w="939" w:type="dxa"/>
            <w:tcBorders>
              <w:top w:val="single" w:sz="8" w:space="0" w:color="000000"/>
              <w:bottom w:val="single" w:sz="8" w:space="0" w:color="000000"/>
            </w:tcBorders>
            <w:shd w:val="clear" w:color="auto" w:fill="auto"/>
            <w:noWrap/>
            <w:hideMark/>
          </w:tcPr>
          <w:p w:rsidR="005630B3" w:rsidRPr="00FB5B28" w:rsidRDefault="005630B3" w:rsidP="00D84060">
            <w:pPr>
              <w:spacing w:after="120" w:line="240" w:lineRule="auto"/>
              <w:rPr>
                <w:rFonts w:ascii="Times New Roman" w:hAnsi="Times New Roman"/>
                <w:b/>
                <w:bCs/>
                <w:sz w:val="20"/>
                <w:szCs w:val="20"/>
              </w:rPr>
            </w:pPr>
            <w:r w:rsidRPr="00FB5B28">
              <w:rPr>
                <w:rFonts w:ascii="Times New Roman" w:hAnsi="Times New Roman"/>
                <w:b/>
                <w:bCs/>
                <w:sz w:val="20"/>
                <w:szCs w:val="20"/>
              </w:rPr>
              <w:t>RMSEA</w:t>
            </w:r>
          </w:p>
        </w:tc>
        <w:tc>
          <w:tcPr>
            <w:tcW w:w="1216" w:type="dxa"/>
            <w:tcBorders>
              <w:top w:val="single" w:sz="8" w:space="0" w:color="000000"/>
              <w:bottom w:val="single" w:sz="8" w:space="0" w:color="000000"/>
            </w:tcBorders>
            <w:shd w:val="clear" w:color="auto" w:fill="auto"/>
            <w:noWrap/>
            <w:hideMark/>
          </w:tcPr>
          <w:p w:rsidR="005630B3" w:rsidRPr="00FB5B28" w:rsidRDefault="005630B3" w:rsidP="00D84060">
            <w:pPr>
              <w:spacing w:after="120" w:line="240" w:lineRule="auto"/>
              <w:rPr>
                <w:rFonts w:ascii="Times New Roman" w:hAnsi="Times New Roman"/>
                <w:b/>
                <w:bCs/>
                <w:sz w:val="20"/>
                <w:szCs w:val="20"/>
              </w:rPr>
            </w:pPr>
            <w:r w:rsidRPr="00FB5B28">
              <w:rPr>
                <w:rFonts w:ascii="Times New Roman" w:hAnsi="Times New Roman"/>
                <w:b/>
                <w:bCs/>
                <w:sz w:val="20"/>
                <w:szCs w:val="20"/>
              </w:rPr>
              <w:t>SRMR</w:t>
            </w:r>
          </w:p>
          <w:p w:rsidR="005630B3" w:rsidRPr="00FB5B28" w:rsidRDefault="005630B3" w:rsidP="00D84060">
            <w:pPr>
              <w:spacing w:after="120" w:line="240" w:lineRule="auto"/>
              <w:rPr>
                <w:rFonts w:ascii="Times New Roman" w:hAnsi="Times New Roman"/>
                <w:b/>
                <w:bCs/>
                <w:sz w:val="20"/>
                <w:szCs w:val="20"/>
              </w:rPr>
            </w:pPr>
            <w:r w:rsidRPr="00FB5B28">
              <w:rPr>
                <w:rFonts w:ascii="Times New Roman" w:hAnsi="Times New Roman"/>
                <w:b/>
                <w:bCs/>
                <w:sz w:val="20"/>
                <w:szCs w:val="20"/>
              </w:rPr>
              <w:t>(Value for within)</w:t>
            </w:r>
          </w:p>
        </w:tc>
      </w:tr>
      <w:tr w:rsidR="005630B3" w:rsidRPr="00FB5B28" w:rsidTr="00D84060">
        <w:trPr>
          <w:trHeight w:val="300"/>
        </w:trPr>
        <w:tc>
          <w:tcPr>
            <w:tcW w:w="2320" w:type="dxa"/>
            <w:shd w:val="clear" w:color="auto" w:fill="auto"/>
            <w:noWrap/>
            <w:hideMark/>
          </w:tcPr>
          <w:p w:rsidR="005630B3" w:rsidRPr="00FB5B28" w:rsidRDefault="005630B3" w:rsidP="00D84060">
            <w:pPr>
              <w:spacing w:after="120" w:line="240" w:lineRule="auto"/>
              <w:rPr>
                <w:rFonts w:ascii="Times New Roman" w:hAnsi="Times New Roman"/>
                <w:bCs/>
                <w:sz w:val="20"/>
                <w:szCs w:val="20"/>
              </w:rPr>
            </w:pPr>
            <w:r w:rsidRPr="00FB5B28">
              <w:rPr>
                <w:rFonts w:ascii="Times New Roman" w:hAnsi="Times New Roman"/>
                <w:bCs/>
                <w:sz w:val="20"/>
                <w:szCs w:val="20"/>
              </w:rPr>
              <w:t>Hypothesized model</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889.241</w:t>
            </w:r>
          </w:p>
        </w:tc>
        <w:tc>
          <w:tcPr>
            <w:tcW w:w="730"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.982</w:t>
            </w:r>
          </w:p>
        </w:tc>
        <w:tc>
          <w:tcPr>
            <w:tcW w:w="708" w:type="dxa"/>
            <w:tcBorders>
              <w:left w:val="nil"/>
              <w:right w:val="nil"/>
            </w:tcBorders>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.954</w:t>
            </w:r>
          </w:p>
        </w:tc>
        <w:tc>
          <w:tcPr>
            <w:tcW w:w="939"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.006</w:t>
            </w:r>
          </w:p>
        </w:tc>
        <w:tc>
          <w:tcPr>
            <w:tcW w:w="1216" w:type="dxa"/>
            <w:tcBorders>
              <w:left w:val="nil"/>
              <w:right w:val="nil"/>
            </w:tcBorders>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.022</w:t>
            </w:r>
          </w:p>
        </w:tc>
      </w:tr>
      <w:tr w:rsidR="005630B3" w:rsidRPr="00FB5B28" w:rsidTr="00D84060">
        <w:trPr>
          <w:trHeight w:val="300"/>
        </w:trPr>
        <w:tc>
          <w:tcPr>
            <w:tcW w:w="2320" w:type="dxa"/>
            <w:shd w:val="clear" w:color="auto" w:fill="auto"/>
            <w:noWrap/>
            <w:hideMark/>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Ia</w:t>
            </w:r>
            <w:proofErr w:type="spellEnd"/>
            <w:r w:rsidRPr="00FB5B28">
              <w:rPr>
                <w:rFonts w:ascii="Times New Roman" w:hAnsi="Times New Roman"/>
                <w:bCs/>
                <w:sz w:val="20"/>
                <w:szCs w:val="20"/>
              </w:rPr>
              <w:t xml:space="preserve">) Alternative mediators </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897.321</w:t>
            </w:r>
          </w:p>
        </w:tc>
        <w:tc>
          <w:tcPr>
            <w:tcW w:w="730"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.910</w:t>
            </w:r>
          </w:p>
        </w:tc>
        <w:tc>
          <w:tcPr>
            <w:tcW w:w="708"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.774</w:t>
            </w:r>
          </w:p>
        </w:tc>
        <w:tc>
          <w:tcPr>
            <w:tcW w:w="939"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.014</w:t>
            </w:r>
          </w:p>
        </w:tc>
        <w:tc>
          <w:tcPr>
            <w:tcW w:w="1216"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.032</w:t>
            </w:r>
          </w:p>
        </w:tc>
      </w:tr>
      <w:tr w:rsidR="005630B3" w:rsidRPr="00FB5B28" w:rsidTr="00D84060">
        <w:trPr>
          <w:trHeight w:val="300"/>
        </w:trPr>
        <w:tc>
          <w:tcPr>
            <w:tcW w:w="2320" w:type="dxa"/>
            <w:shd w:val="clear" w:color="auto" w:fill="auto"/>
            <w:noWrap/>
            <w:hideMark/>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Ib</w:t>
            </w:r>
            <w:proofErr w:type="spellEnd"/>
            <w:r w:rsidRPr="00FB5B28">
              <w:rPr>
                <w:rFonts w:ascii="Times New Roman" w:hAnsi="Times New Roman"/>
                <w:bCs/>
                <w:sz w:val="20"/>
                <w:szCs w:val="20"/>
              </w:rPr>
              <w:t xml:space="preserve">) Alternative mediators </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897.321</w:t>
            </w:r>
          </w:p>
        </w:tc>
        <w:tc>
          <w:tcPr>
            <w:tcW w:w="730"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.905</w:t>
            </w:r>
          </w:p>
        </w:tc>
        <w:tc>
          <w:tcPr>
            <w:tcW w:w="708" w:type="dxa"/>
            <w:tcBorders>
              <w:left w:val="nil"/>
              <w:right w:val="nil"/>
            </w:tcBorders>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.763</w:t>
            </w:r>
          </w:p>
        </w:tc>
        <w:tc>
          <w:tcPr>
            <w:tcW w:w="939"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.015</w:t>
            </w:r>
          </w:p>
        </w:tc>
        <w:tc>
          <w:tcPr>
            <w:tcW w:w="1216" w:type="dxa"/>
            <w:tcBorders>
              <w:left w:val="nil"/>
              <w:right w:val="nil"/>
            </w:tcBorders>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.034</w:t>
            </w:r>
          </w:p>
        </w:tc>
      </w:tr>
      <w:tr w:rsidR="005630B3" w:rsidRPr="00FB5B28" w:rsidTr="00D84060">
        <w:trPr>
          <w:trHeight w:val="300"/>
        </w:trPr>
        <w:tc>
          <w:tcPr>
            <w:tcW w:w="2320" w:type="dxa"/>
            <w:shd w:val="clear" w:color="auto" w:fill="auto"/>
            <w:noWrap/>
            <w:hideMark/>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IIa</w:t>
            </w:r>
            <w:proofErr w:type="spellEnd"/>
            <w:r w:rsidRPr="00FB5B28">
              <w:rPr>
                <w:rFonts w:ascii="Times New Roman" w:hAnsi="Times New Roman"/>
                <w:bCs/>
                <w:sz w:val="20"/>
                <w:szCs w:val="20"/>
              </w:rPr>
              <w:t xml:space="preserve">) Religiosity dimensions </w:t>
            </w:r>
            <w:r>
              <w:rPr>
                <w:rFonts w:ascii="Times New Roman" w:hAnsi="Times New Roman"/>
                <w:bCs/>
                <w:sz w:val="20"/>
                <w:szCs w:val="20"/>
              </w:rPr>
              <w:t>as mediators</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864.217</w:t>
            </w:r>
          </w:p>
        </w:tc>
        <w:tc>
          <w:tcPr>
            <w:tcW w:w="730"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.974</w:t>
            </w:r>
          </w:p>
        </w:tc>
        <w:tc>
          <w:tcPr>
            <w:tcW w:w="708"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.897</w:t>
            </w:r>
          </w:p>
        </w:tc>
        <w:tc>
          <w:tcPr>
            <w:tcW w:w="939"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.012</w:t>
            </w:r>
          </w:p>
        </w:tc>
        <w:tc>
          <w:tcPr>
            <w:tcW w:w="1216"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.034</w:t>
            </w:r>
          </w:p>
        </w:tc>
      </w:tr>
      <w:tr w:rsidR="005630B3" w:rsidRPr="00FB5B28" w:rsidTr="00D84060">
        <w:trPr>
          <w:trHeight w:val="300"/>
        </w:trPr>
        <w:tc>
          <w:tcPr>
            <w:tcW w:w="2320" w:type="dxa"/>
            <w:shd w:val="clear" w:color="auto" w:fill="auto"/>
            <w:noWrap/>
            <w:hideMark/>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IIb</w:t>
            </w:r>
            <w:proofErr w:type="spellEnd"/>
            <w:r w:rsidRPr="00FB5B28">
              <w:rPr>
                <w:rFonts w:ascii="Times New Roman" w:hAnsi="Times New Roman"/>
                <w:bCs/>
                <w:sz w:val="20"/>
                <w:szCs w:val="20"/>
              </w:rPr>
              <w:t xml:space="preserve">) Religiosity dimensions </w:t>
            </w:r>
            <w:r>
              <w:rPr>
                <w:rFonts w:ascii="Times New Roman" w:hAnsi="Times New Roman"/>
                <w:bCs/>
                <w:sz w:val="20"/>
                <w:szCs w:val="20"/>
              </w:rPr>
              <w:t>as mediators</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864.217</w:t>
            </w:r>
          </w:p>
        </w:tc>
        <w:tc>
          <w:tcPr>
            <w:tcW w:w="730"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.951</w:t>
            </w:r>
          </w:p>
        </w:tc>
        <w:tc>
          <w:tcPr>
            <w:tcW w:w="708" w:type="dxa"/>
            <w:tcBorders>
              <w:left w:val="nil"/>
              <w:right w:val="nil"/>
            </w:tcBorders>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.803</w:t>
            </w:r>
          </w:p>
        </w:tc>
        <w:tc>
          <w:tcPr>
            <w:tcW w:w="939" w:type="dxa"/>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.016</w:t>
            </w:r>
          </w:p>
        </w:tc>
        <w:tc>
          <w:tcPr>
            <w:tcW w:w="1216" w:type="dxa"/>
            <w:tcBorders>
              <w:left w:val="nil"/>
              <w:right w:val="nil"/>
            </w:tcBorders>
            <w:shd w:val="clear" w:color="auto" w:fill="auto"/>
            <w:noWrap/>
            <w:hideMark/>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.041</w:t>
            </w:r>
          </w:p>
        </w:tc>
      </w:tr>
      <w:tr w:rsidR="005630B3" w:rsidRPr="00FB5B28" w:rsidTr="00D84060">
        <w:trPr>
          <w:trHeight w:val="300"/>
        </w:trPr>
        <w:tc>
          <w:tcPr>
            <w:tcW w:w="2320" w:type="dxa"/>
            <w:shd w:val="clear" w:color="auto" w:fill="auto"/>
            <w:noWrap/>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IIIa</w:t>
            </w:r>
            <w:proofErr w:type="spellEnd"/>
            <w:r w:rsidRPr="00FB5B28">
              <w:rPr>
                <w:rFonts w:ascii="Times New Roman" w:hAnsi="Times New Roman"/>
                <w:bCs/>
                <w:sz w:val="20"/>
                <w:szCs w:val="20"/>
              </w:rPr>
              <w:t>) DV as mediator</w:t>
            </w:r>
          </w:p>
        </w:tc>
        <w:tc>
          <w:tcPr>
            <w:tcW w:w="1266" w:type="dxa"/>
          </w:tcPr>
          <w:p w:rsidR="005630B3" w:rsidRPr="00FB5B28" w:rsidDel="00377AE3"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2084.290</w:t>
            </w:r>
          </w:p>
        </w:tc>
        <w:tc>
          <w:tcPr>
            <w:tcW w:w="730" w:type="dxa"/>
            <w:shd w:val="clear" w:color="auto" w:fill="auto"/>
            <w:noWrap/>
          </w:tcPr>
          <w:p w:rsidR="005630B3" w:rsidRPr="00FB5B28" w:rsidDel="00377AE3"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.877</w:t>
            </w:r>
          </w:p>
        </w:tc>
        <w:tc>
          <w:tcPr>
            <w:tcW w:w="708" w:type="dxa"/>
            <w:shd w:val="clear" w:color="auto" w:fill="auto"/>
            <w:noWrap/>
          </w:tcPr>
          <w:p w:rsidR="005630B3" w:rsidRPr="00FB5B28" w:rsidDel="00377AE3"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.632</w:t>
            </w:r>
          </w:p>
        </w:tc>
        <w:tc>
          <w:tcPr>
            <w:tcW w:w="939" w:type="dxa"/>
            <w:shd w:val="clear" w:color="auto" w:fill="auto"/>
            <w:noWrap/>
          </w:tcPr>
          <w:p w:rsidR="005630B3" w:rsidRPr="00FB5B28" w:rsidDel="00377AE3"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.025</w:t>
            </w:r>
          </w:p>
        </w:tc>
        <w:tc>
          <w:tcPr>
            <w:tcW w:w="1216" w:type="dxa"/>
            <w:shd w:val="clear" w:color="auto" w:fill="auto"/>
            <w:noWrap/>
          </w:tcPr>
          <w:p w:rsidR="005630B3" w:rsidRPr="00FB5B28" w:rsidDel="00377AE3"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.027</w:t>
            </w:r>
          </w:p>
        </w:tc>
      </w:tr>
      <w:tr w:rsidR="005630B3" w:rsidRPr="00FB5B28" w:rsidTr="00D84060">
        <w:trPr>
          <w:trHeight w:val="300"/>
        </w:trPr>
        <w:tc>
          <w:tcPr>
            <w:tcW w:w="2320" w:type="dxa"/>
            <w:shd w:val="clear" w:color="auto" w:fill="auto"/>
            <w:noWrap/>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IIIb</w:t>
            </w:r>
            <w:proofErr w:type="spellEnd"/>
            <w:r w:rsidRPr="00FB5B28">
              <w:rPr>
                <w:rFonts w:ascii="Times New Roman" w:hAnsi="Times New Roman"/>
                <w:bCs/>
                <w:sz w:val="20"/>
                <w:szCs w:val="20"/>
              </w:rPr>
              <w:t xml:space="preserve">) DV as mediator </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2084.290</w:t>
            </w:r>
          </w:p>
        </w:tc>
        <w:tc>
          <w:tcPr>
            <w:tcW w:w="730"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.858</w:t>
            </w:r>
          </w:p>
        </w:tc>
        <w:tc>
          <w:tcPr>
            <w:tcW w:w="708"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.573</w:t>
            </w:r>
          </w:p>
        </w:tc>
        <w:tc>
          <w:tcPr>
            <w:tcW w:w="939"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.027</w:t>
            </w:r>
          </w:p>
        </w:tc>
        <w:tc>
          <w:tcPr>
            <w:tcW w:w="1216"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.025</w:t>
            </w:r>
          </w:p>
        </w:tc>
      </w:tr>
      <w:tr w:rsidR="005630B3" w:rsidRPr="00FB5B28" w:rsidTr="00D84060">
        <w:trPr>
          <w:trHeight w:val="300"/>
        </w:trPr>
        <w:tc>
          <w:tcPr>
            <w:tcW w:w="2320" w:type="dxa"/>
            <w:shd w:val="clear" w:color="auto" w:fill="auto"/>
            <w:noWrap/>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IVa</w:t>
            </w:r>
            <w:proofErr w:type="spellEnd"/>
            <w:r w:rsidRPr="00FB5B28">
              <w:rPr>
                <w:rFonts w:ascii="Times New Roman" w:hAnsi="Times New Roman"/>
                <w:bCs/>
                <w:sz w:val="20"/>
                <w:szCs w:val="20"/>
              </w:rPr>
              <w:t>) Single religiosity index</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1123882.735</w:t>
            </w:r>
          </w:p>
        </w:tc>
        <w:tc>
          <w:tcPr>
            <w:tcW w:w="730"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.002</w:t>
            </w:r>
          </w:p>
        </w:tc>
        <w:tc>
          <w:tcPr>
            <w:tcW w:w="708"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-.496</w:t>
            </w:r>
          </w:p>
        </w:tc>
        <w:tc>
          <w:tcPr>
            <w:tcW w:w="939"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1.186</w:t>
            </w:r>
          </w:p>
        </w:tc>
        <w:tc>
          <w:tcPr>
            <w:tcW w:w="1216"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.253</w:t>
            </w:r>
          </w:p>
        </w:tc>
      </w:tr>
      <w:tr w:rsidR="005630B3" w:rsidRPr="00FB5B28" w:rsidTr="00D84060">
        <w:trPr>
          <w:trHeight w:val="300"/>
        </w:trPr>
        <w:tc>
          <w:tcPr>
            <w:tcW w:w="2320" w:type="dxa"/>
            <w:shd w:val="clear" w:color="auto" w:fill="auto"/>
            <w:noWrap/>
          </w:tcPr>
          <w:p w:rsidR="005630B3" w:rsidRPr="00FB5B28" w:rsidRDefault="005630B3" w:rsidP="00D84060">
            <w:pPr>
              <w:spacing w:after="120" w:line="240" w:lineRule="auto"/>
              <w:rPr>
                <w:rFonts w:ascii="Times New Roman" w:hAnsi="Times New Roman"/>
                <w:bCs/>
                <w:sz w:val="20"/>
                <w:szCs w:val="20"/>
              </w:rPr>
            </w:pPr>
            <w:proofErr w:type="spellStart"/>
            <w:r w:rsidRPr="00FB5B28">
              <w:rPr>
                <w:rFonts w:ascii="Times New Roman" w:hAnsi="Times New Roman"/>
                <w:bCs/>
                <w:sz w:val="20"/>
                <w:szCs w:val="20"/>
              </w:rPr>
              <w:t>IVb</w:t>
            </w:r>
            <w:proofErr w:type="spellEnd"/>
            <w:r w:rsidRPr="00FB5B28">
              <w:rPr>
                <w:rFonts w:ascii="Times New Roman" w:hAnsi="Times New Roman"/>
                <w:bCs/>
                <w:sz w:val="20"/>
                <w:szCs w:val="20"/>
              </w:rPr>
              <w:t>) All mediators</w:t>
            </w:r>
          </w:p>
        </w:tc>
        <w:tc>
          <w:tcPr>
            <w:tcW w:w="1266" w:type="dxa"/>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166.132</w:t>
            </w:r>
          </w:p>
        </w:tc>
        <w:tc>
          <w:tcPr>
            <w:tcW w:w="730"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.767</w:t>
            </w:r>
          </w:p>
        </w:tc>
        <w:tc>
          <w:tcPr>
            <w:tcW w:w="708"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-.085</w:t>
            </w:r>
          </w:p>
        </w:tc>
        <w:tc>
          <w:tcPr>
            <w:tcW w:w="939"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.014</w:t>
            </w:r>
          </w:p>
        </w:tc>
        <w:tc>
          <w:tcPr>
            <w:tcW w:w="1216" w:type="dxa"/>
            <w:shd w:val="clear" w:color="auto" w:fill="auto"/>
            <w:noWrap/>
          </w:tcPr>
          <w:p w:rsidR="005630B3" w:rsidRPr="00FB5B28" w:rsidRDefault="005630B3" w:rsidP="00D84060">
            <w:pPr>
              <w:spacing w:after="120" w:line="240" w:lineRule="auto"/>
              <w:rPr>
                <w:rFonts w:ascii="Times New Roman" w:hAnsi="Times New Roman"/>
                <w:sz w:val="20"/>
                <w:szCs w:val="20"/>
              </w:rPr>
            </w:pPr>
            <w:r w:rsidRPr="00FB5B28">
              <w:rPr>
                <w:rFonts w:ascii="Times New Roman" w:hAnsi="Times New Roman"/>
                <w:sz w:val="20"/>
                <w:szCs w:val="20"/>
              </w:rPr>
              <w:t>.019</w:t>
            </w:r>
          </w:p>
        </w:tc>
      </w:tr>
    </w:tbl>
    <w:p w:rsidR="005630B3" w:rsidRPr="00FB5B28" w:rsidRDefault="005630B3" w:rsidP="005630B3">
      <w:pPr>
        <w:spacing w:after="0" w:line="240" w:lineRule="auto"/>
        <w:rPr>
          <w:rFonts w:ascii="Times New Roman" w:hAnsi="Times New Roman"/>
          <w:b/>
          <w:bCs/>
          <w:sz w:val="24"/>
          <w:szCs w:val="24"/>
        </w:rPr>
      </w:pPr>
    </w:p>
    <w:p w:rsidR="005630B3" w:rsidRPr="00FB5B28" w:rsidRDefault="005630B3" w:rsidP="005630B3">
      <w:pPr>
        <w:spacing w:after="0" w:line="240" w:lineRule="auto"/>
        <w:rPr>
          <w:rFonts w:ascii="Times New Roman" w:hAnsi="Times New Roman"/>
          <w:b/>
          <w:bCs/>
          <w:sz w:val="24"/>
          <w:szCs w:val="24"/>
        </w:rPr>
      </w:pPr>
    </w:p>
    <w:p w:rsidR="005630B3" w:rsidRPr="003D01EE" w:rsidRDefault="003D01EE" w:rsidP="005630B3">
      <w:pPr>
        <w:spacing w:after="0" w:line="240" w:lineRule="auto"/>
        <w:rPr>
          <w:rFonts w:ascii="Times New Roman" w:hAnsi="Times New Roman"/>
          <w:b/>
          <w:bCs/>
          <w:sz w:val="24"/>
          <w:szCs w:val="24"/>
        </w:rPr>
      </w:pPr>
      <w:r w:rsidRPr="003D01EE">
        <w:rPr>
          <w:rFonts w:ascii="Times New Roman" w:hAnsi="Times New Roman"/>
          <w:b/>
          <w:bCs/>
          <w:sz w:val="24"/>
          <w:szCs w:val="24"/>
        </w:rPr>
        <w:t>References</w:t>
      </w:r>
    </w:p>
    <w:p w:rsidR="005630B3" w:rsidRPr="003D01EE" w:rsidRDefault="005630B3" w:rsidP="005630B3">
      <w:pPr>
        <w:spacing w:after="0" w:line="240" w:lineRule="auto"/>
        <w:rPr>
          <w:rFonts w:ascii="Times New Roman" w:hAnsi="Times New Roman"/>
          <w:b/>
          <w:bCs/>
          <w:sz w:val="24"/>
          <w:szCs w:val="24"/>
        </w:rPr>
      </w:pPr>
    </w:p>
    <w:p w:rsidR="003D01EE" w:rsidRPr="003D01EE" w:rsidRDefault="00F51306"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b/>
          <w:bCs/>
          <w:sz w:val="24"/>
          <w:szCs w:val="24"/>
        </w:rPr>
        <w:fldChar w:fldCharType="begin"/>
      </w:r>
      <w:r w:rsidRPr="003D01EE">
        <w:rPr>
          <w:rFonts w:ascii="Times New Roman" w:hAnsi="Times New Roman" w:cs="Times New Roman"/>
          <w:b/>
          <w:bCs/>
          <w:sz w:val="24"/>
          <w:szCs w:val="24"/>
        </w:rPr>
        <w:instrText xml:space="preserve"> ADDIN EN.REFLIST </w:instrText>
      </w:r>
      <w:r w:rsidRPr="003D01EE">
        <w:rPr>
          <w:rFonts w:ascii="Times New Roman" w:hAnsi="Times New Roman" w:cs="Times New Roman"/>
          <w:b/>
          <w:bCs/>
          <w:sz w:val="24"/>
          <w:szCs w:val="24"/>
        </w:rPr>
        <w:fldChar w:fldCharType="separate"/>
      </w:r>
      <w:r w:rsidR="003D01EE" w:rsidRPr="003D01EE">
        <w:rPr>
          <w:rFonts w:ascii="Times New Roman" w:hAnsi="Times New Roman" w:cs="Times New Roman"/>
          <w:sz w:val="24"/>
          <w:szCs w:val="24"/>
        </w:rPr>
        <w:t xml:space="preserve">Byrd, K. R., Lear, D., &amp; Schwenka, S. (2000). Mysticism as a Predictor of Subjective Well-Being. </w:t>
      </w:r>
      <w:r w:rsidR="003D01EE" w:rsidRPr="003D01EE">
        <w:rPr>
          <w:rFonts w:ascii="Times New Roman" w:hAnsi="Times New Roman" w:cs="Times New Roman"/>
          <w:i/>
          <w:sz w:val="24"/>
          <w:szCs w:val="24"/>
        </w:rPr>
        <w:t>International Journal for the Psychology of Religion, 10</w:t>
      </w:r>
      <w:r w:rsidR="003D01EE" w:rsidRPr="003D01EE">
        <w:rPr>
          <w:rFonts w:ascii="Times New Roman" w:hAnsi="Times New Roman" w:cs="Times New Roman"/>
          <w:sz w:val="24"/>
          <w:szCs w:val="24"/>
        </w:rPr>
        <w:t xml:space="preserve">(4), 259–270. </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Federico, C. (2015). The Structure, Foundations, and Expression of Ideology. In A. Berinsky (Ed.), </w:t>
      </w:r>
      <w:r w:rsidRPr="003D01EE">
        <w:rPr>
          <w:rFonts w:ascii="Times New Roman" w:hAnsi="Times New Roman" w:cs="Times New Roman"/>
          <w:i/>
          <w:sz w:val="24"/>
          <w:szCs w:val="24"/>
        </w:rPr>
        <w:t xml:space="preserve">New Directions in Public Opinion </w:t>
      </w:r>
      <w:r w:rsidRPr="003D01EE">
        <w:rPr>
          <w:rFonts w:ascii="Times New Roman" w:hAnsi="Times New Roman" w:cs="Times New Roman"/>
          <w:sz w:val="24"/>
          <w:szCs w:val="24"/>
        </w:rPr>
        <w:t>(Second ed., pp. 81-103). New York: Routledge.</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Freeden, M. (1996). </w:t>
      </w:r>
      <w:r w:rsidRPr="003D01EE">
        <w:rPr>
          <w:rFonts w:ascii="Times New Roman" w:hAnsi="Times New Roman" w:cs="Times New Roman"/>
          <w:i/>
          <w:sz w:val="24"/>
          <w:szCs w:val="24"/>
        </w:rPr>
        <w:t>Ideologies and Political Theory: A Conceptual Approach</w:t>
      </w:r>
      <w:r w:rsidRPr="003D01EE">
        <w:rPr>
          <w:rFonts w:ascii="Times New Roman" w:hAnsi="Times New Roman" w:cs="Times New Roman"/>
          <w:sz w:val="24"/>
          <w:szCs w:val="24"/>
        </w:rPr>
        <w:t>. New York: Clarendon Press.</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Hu, L. T., &amp; Bentler, P. M. (1999). Cutoff Criteria for Fit Indexes in Covariance Structure Analysis: Conventional Criteria Versus New Alternatives. </w:t>
      </w:r>
      <w:r w:rsidRPr="003D01EE">
        <w:rPr>
          <w:rFonts w:ascii="Times New Roman" w:hAnsi="Times New Roman" w:cs="Times New Roman"/>
          <w:i/>
          <w:sz w:val="24"/>
          <w:szCs w:val="24"/>
        </w:rPr>
        <w:t>Structural Equation Modeling-a Multidisciplinary Journal, 6</w:t>
      </w:r>
      <w:r w:rsidRPr="003D01EE">
        <w:rPr>
          <w:rFonts w:ascii="Times New Roman" w:hAnsi="Times New Roman" w:cs="Times New Roman"/>
          <w:sz w:val="24"/>
          <w:szCs w:val="24"/>
        </w:rPr>
        <w:t>(1), 1-55. doi:10.1080/10705519909540118</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Kline, R. B. (2011). </w:t>
      </w:r>
      <w:r w:rsidRPr="003D01EE">
        <w:rPr>
          <w:rFonts w:ascii="Times New Roman" w:hAnsi="Times New Roman" w:cs="Times New Roman"/>
          <w:i/>
          <w:sz w:val="24"/>
          <w:szCs w:val="24"/>
        </w:rPr>
        <w:t>Principles and Practice of Structural Equation Modeling</w:t>
      </w:r>
      <w:r w:rsidRPr="003D01EE">
        <w:rPr>
          <w:rFonts w:ascii="Times New Roman" w:hAnsi="Times New Roman" w:cs="Times New Roman"/>
          <w:sz w:val="24"/>
          <w:szCs w:val="24"/>
        </w:rPr>
        <w:t xml:space="preserve"> (Third ed.). New York: Guilford Press.</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Knight, K. (2006). Transformations of the concept of ideology in the twentieth century. </w:t>
      </w:r>
      <w:r w:rsidRPr="003D01EE">
        <w:rPr>
          <w:rFonts w:ascii="Times New Roman" w:hAnsi="Times New Roman" w:cs="Times New Roman"/>
          <w:i/>
          <w:sz w:val="24"/>
          <w:szCs w:val="24"/>
        </w:rPr>
        <w:t>American Political Science Review, 100</w:t>
      </w:r>
      <w:r w:rsidRPr="003D01EE">
        <w:rPr>
          <w:rFonts w:ascii="Times New Roman" w:hAnsi="Times New Roman" w:cs="Times New Roman"/>
          <w:sz w:val="24"/>
          <w:szCs w:val="24"/>
        </w:rPr>
        <w:t xml:space="preserve">(4), 619-626. </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Myers, S. M. (1996). An interactive model of religiosity inheritance: The importance of family context. </w:t>
      </w:r>
      <w:r w:rsidRPr="003D01EE">
        <w:rPr>
          <w:rFonts w:ascii="Times New Roman" w:hAnsi="Times New Roman" w:cs="Times New Roman"/>
          <w:i/>
          <w:sz w:val="24"/>
          <w:szCs w:val="24"/>
        </w:rPr>
        <w:t>American Sociological Review, 61</w:t>
      </w:r>
      <w:r w:rsidRPr="003D01EE">
        <w:rPr>
          <w:rFonts w:ascii="Times New Roman" w:hAnsi="Times New Roman" w:cs="Times New Roman"/>
          <w:sz w:val="24"/>
          <w:szCs w:val="24"/>
        </w:rPr>
        <w:t>(5), 858-866. doi:Doi 10.2307/2096457</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Piaget, J., &amp; Weil, A. M. (1951). The Development in Children of the Idea of Homeland and Relations with Other Countries. </w:t>
      </w:r>
      <w:r w:rsidRPr="003D01EE">
        <w:rPr>
          <w:rFonts w:ascii="Times New Roman" w:hAnsi="Times New Roman" w:cs="Times New Roman"/>
          <w:i/>
          <w:sz w:val="24"/>
          <w:szCs w:val="24"/>
        </w:rPr>
        <w:t>International Social Science Bulletin, 3</w:t>
      </w:r>
      <w:r w:rsidRPr="003D01EE">
        <w:rPr>
          <w:rFonts w:ascii="Times New Roman" w:hAnsi="Times New Roman" w:cs="Times New Roman"/>
          <w:sz w:val="24"/>
          <w:szCs w:val="24"/>
        </w:rPr>
        <w:t xml:space="preserve">, 561-578. </w:t>
      </w:r>
    </w:p>
    <w:p w:rsidR="003D01EE" w:rsidRPr="003D01EE" w:rsidRDefault="003D01EE" w:rsidP="003D01EE">
      <w:pPr>
        <w:pStyle w:val="EndNoteBibliography"/>
        <w:spacing w:after="0"/>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Sigel, I. E., &amp; Cocking, R. E. (1977). </w:t>
      </w:r>
      <w:r w:rsidRPr="003D01EE">
        <w:rPr>
          <w:rFonts w:ascii="Times New Roman" w:hAnsi="Times New Roman" w:cs="Times New Roman"/>
          <w:i/>
          <w:sz w:val="24"/>
          <w:szCs w:val="24"/>
        </w:rPr>
        <w:t>Cognitive Development from Childhood to Adolescence: A Constructivist Perspective</w:t>
      </w:r>
      <w:r w:rsidRPr="003D01EE">
        <w:rPr>
          <w:rFonts w:ascii="Times New Roman" w:hAnsi="Times New Roman" w:cs="Times New Roman"/>
          <w:sz w:val="24"/>
          <w:szCs w:val="24"/>
        </w:rPr>
        <w:t>. New York: Holt, Rinehart and Winston.</w:t>
      </w:r>
    </w:p>
    <w:p w:rsidR="003D01EE" w:rsidRPr="003D01EE" w:rsidRDefault="003D01EE" w:rsidP="003D01EE">
      <w:pPr>
        <w:pStyle w:val="EndNoteBibliography"/>
        <w:ind w:left="720" w:hanging="720"/>
        <w:rPr>
          <w:rFonts w:ascii="Times New Roman" w:hAnsi="Times New Roman" w:cs="Times New Roman"/>
          <w:sz w:val="24"/>
          <w:szCs w:val="24"/>
        </w:rPr>
      </w:pPr>
      <w:r w:rsidRPr="003D01EE">
        <w:rPr>
          <w:rFonts w:ascii="Times New Roman" w:hAnsi="Times New Roman" w:cs="Times New Roman"/>
          <w:sz w:val="24"/>
          <w:szCs w:val="24"/>
        </w:rPr>
        <w:t xml:space="preserve">Torney-Purta, J. (1990). Youth in Relation to Social Institutes. In a. G. R. E. S.S. Feldman (Ed.), </w:t>
      </w:r>
      <w:r w:rsidRPr="003D01EE">
        <w:rPr>
          <w:rFonts w:ascii="Times New Roman" w:hAnsi="Times New Roman" w:cs="Times New Roman"/>
          <w:i/>
          <w:sz w:val="24"/>
          <w:szCs w:val="24"/>
        </w:rPr>
        <w:t>At the Threshold: The Developing Adolescent</w:t>
      </w:r>
      <w:r w:rsidRPr="003D01EE">
        <w:rPr>
          <w:rFonts w:ascii="Times New Roman" w:hAnsi="Times New Roman" w:cs="Times New Roman"/>
          <w:sz w:val="24"/>
          <w:szCs w:val="24"/>
        </w:rPr>
        <w:t xml:space="preserve"> (pp. 457-477). Cambridge: Harvard University Press.</w:t>
      </w:r>
    </w:p>
    <w:p w:rsidR="005630B3" w:rsidRPr="00FB5B28" w:rsidRDefault="00F51306" w:rsidP="005630B3">
      <w:pPr>
        <w:spacing w:after="0" w:line="240" w:lineRule="auto"/>
        <w:rPr>
          <w:rFonts w:ascii="Times New Roman" w:hAnsi="Times New Roman"/>
          <w:b/>
          <w:bCs/>
          <w:sz w:val="24"/>
          <w:szCs w:val="24"/>
        </w:rPr>
      </w:pPr>
      <w:r w:rsidRPr="003D01EE">
        <w:rPr>
          <w:rFonts w:ascii="Times New Roman" w:hAnsi="Times New Roman"/>
          <w:b/>
          <w:bCs/>
          <w:sz w:val="24"/>
          <w:szCs w:val="24"/>
        </w:rPr>
        <w:lastRenderedPageBreak/>
        <w:fldChar w:fldCharType="end"/>
      </w:r>
    </w:p>
    <w:sectPr w:rsidR="005630B3" w:rsidRPr="00FB5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dvtsapwpz028eswpzxrv0yxst0p2pv009a&quot;&gt;Religion library&lt;record-ids&gt;&lt;item&gt;39&lt;/item&gt;&lt;item&gt;42&lt;/item&gt;&lt;item&gt;67&lt;/item&gt;&lt;item&gt;74&lt;/item&gt;&lt;item&gt;79&lt;/item&gt;&lt;item&gt;91&lt;/item&gt;&lt;item&gt;98&lt;/item&gt;&lt;item&gt;142&lt;/item&gt;&lt;item&gt;220&lt;/item&gt;&lt;item&gt;221&lt;/item&gt;&lt;/record-ids&gt;&lt;/item&gt;&lt;/Libraries&gt;"/>
  </w:docVars>
  <w:rsids>
    <w:rsidRoot w:val="005630B3"/>
    <w:rsid w:val="003D01EE"/>
    <w:rsid w:val="003E33CD"/>
    <w:rsid w:val="005630B3"/>
    <w:rsid w:val="00980887"/>
    <w:rsid w:val="00F513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B3"/>
    <w:pPr>
      <w:spacing w:after="200" w:line="276" w:lineRule="auto"/>
    </w:pPr>
    <w:rPr>
      <w:rFonts w:ascii="Calibri" w:eastAsia="Calibri" w:hAnsi="Calibri" w:cs="Times New Roman"/>
      <w:lang w:val="en-US"/>
    </w:rPr>
  </w:style>
  <w:style w:type="paragraph" w:styleId="Balk1">
    <w:name w:val="heading 1"/>
    <w:basedOn w:val="Normal"/>
    <w:next w:val="Normal"/>
    <w:link w:val="Balk1Char"/>
    <w:uiPriority w:val="9"/>
    <w:qFormat/>
    <w:rsid w:val="009808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F51306"/>
    <w:pPr>
      <w:spacing w:after="0"/>
      <w:jc w:val="center"/>
    </w:pPr>
    <w:rPr>
      <w:rFonts w:cs="Calibri"/>
      <w:noProof/>
    </w:rPr>
  </w:style>
  <w:style w:type="character" w:customStyle="1" w:styleId="EndNoteBibliographyTitleChar">
    <w:name w:val="EndNote Bibliography Title Char"/>
    <w:basedOn w:val="VarsaylanParagrafYazTipi"/>
    <w:link w:val="EndNoteBibliographyTitle"/>
    <w:rsid w:val="00F51306"/>
    <w:rPr>
      <w:rFonts w:ascii="Calibri" w:eastAsia="Calibri" w:hAnsi="Calibri" w:cs="Calibri"/>
      <w:noProof/>
      <w:lang w:val="en-US"/>
    </w:rPr>
  </w:style>
  <w:style w:type="paragraph" w:customStyle="1" w:styleId="EndNoteBibliography">
    <w:name w:val="EndNote Bibliography"/>
    <w:basedOn w:val="Normal"/>
    <w:link w:val="EndNoteBibliographyChar"/>
    <w:rsid w:val="00F51306"/>
    <w:pPr>
      <w:spacing w:line="240" w:lineRule="auto"/>
    </w:pPr>
    <w:rPr>
      <w:rFonts w:cs="Calibri"/>
      <w:noProof/>
    </w:rPr>
  </w:style>
  <w:style w:type="character" w:customStyle="1" w:styleId="EndNoteBibliographyChar">
    <w:name w:val="EndNote Bibliography Char"/>
    <w:basedOn w:val="VarsaylanParagrafYazTipi"/>
    <w:link w:val="EndNoteBibliography"/>
    <w:rsid w:val="00F51306"/>
    <w:rPr>
      <w:rFonts w:ascii="Calibri" w:eastAsia="Calibri" w:hAnsi="Calibri" w:cs="Calibri"/>
      <w:noProof/>
      <w:lang w:val="en-US"/>
    </w:rPr>
  </w:style>
  <w:style w:type="character" w:customStyle="1" w:styleId="Balk1Char">
    <w:name w:val="Başlık 1 Char"/>
    <w:basedOn w:val="VarsaylanParagrafYazTipi"/>
    <w:link w:val="Balk1"/>
    <w:uiPriority w:val="9"/>
    <w:rsid w:val="00980887"/>
    <w:rPr>
      <w:rFonts w:asciiTheme="majorHAnsi" w:eastAsiaTheme="majorEastAsia" w:hAnsiTheme="majorHAnsi" w:cstheme="majorBidi"/>
      <w:b/>
      <w:bCs/>
      <w:color w:val="2E74B5"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B3"/>
    <w:pPr>
      <w:spacing w:after="200" w:line="276" w:lineRule="auto"/>
    </w:pPr>
    <w:rPr>
      <w:rFonts w:ascii="Calibri" w:eastAsia="Calibri" w:hAnsi="Calibri" w:cs="Times New Roman"/>
      <w:lang w:val="en-US"/>
    </w:rPr>
  </w:style>
  <w:style w:type="paragraph" w:styleId="Balk1">
    <w:name w:val="heading 1"/>
    <w:basedOn w:val="Normal"/>
    <w:next w:val="Normal"/>
    <w:link w:val="Balk1Char"/>
    <w:uiPriority w:val="9"/>
    <w:qFormat/>
    <w:rsid w:val="009808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F51306"/>
    <w:pPr>
      <w:spacing w:after="0"/>
      <w:jc w:val="center"/>
    </w:pPr>
    <w:rPr>
      <w:rFonts w:cs="Calibri"/>
      <w:noProof/>
    </w:rPr>
  </w:style>
  <w:style w:type="character" w:customStyle="1" w:styleId="EndNoteBibliographyTitleChar">
    <w:name w:val="EndNote Bibliography Title Char"/>
    <w:basedOn w:val="VarsaylanParagrafYazTipi"/>
    <w:link w:val="EndNoteBibliographyTitle"/>
    <w:rsid w:val="00F51306"/>
    <w:rPr>
      <w:rFonts w:ascii="Calibri" w:eastAsia="Calibri" w:hAnsi="Calibri" w:cs="Calibri"/>
      <w:noProof/>
      <w:lang w:val="en-US"/>
    </w:rPr>
  </w:style>
  <w:style w:type="paragraph" w:customStyle="1" w:styleId="EndNoteBibliography">
    <w:name w:val="EndNote Bibliography"/>
    <w:basedOn w:val="Normal"/>
    <w:link w:val="EndNoteBibliographyChar"/>
    <w:rsid w:val="00F51306"/>
    <w:pPr>
      <w:spacing w:line="240" w:lineRule="auto"/>
    </w:pPr>
    <w:rPr>
      <w:rFonts w:cs="Calibri"/>
      <w:noProof/>
    </w:rPr>
  </w:style>
  <w:style w:type="character" w:customStyle="1" w:styleId="EndNoteBibliographyChar">
    <w:name w:val="EndNote Bibliography Char"/>
    <w:basedOn w:val="VarsaylanParagrafYazTipi"/>
    <w:link w:val="EndNoteBibliography"/>
    <w:rsid w:val="00F51306"/>
    <w:rPr>
      <w:rFonts w:ascii="Calibri" w:eastAsia="Calibri" w:hAnsi="Calibri" w:cs="Calibri"/>
      <w:noProof/>
      <w:lang w:val="en-US"/>
    </w:rPr>
  </w:style>
  <w:style w:type="character" w:customStyle="1" w:styleId="Balk1Char">
    <w:name w:val="Başlık 1 Char"/>
    <w:basedOn w:val="VarsaylanParagrafYazTipi"/>
    <w:link w:val="Balk1"/>
    <w:uiPriority w:val="9"/>
    <w:rsid w:val="00980887"/>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Arikan</dc:creator>
  <cp:keywords/>
  <dc:description/>
  <cp:lastModifiedBy>Gizem Arıkan</cp:lastModifiedBy>
  <cp:revision>4</cp:revision>
  <dcterms:created xsi:type="dcterms:W3CDTF">2018-10-06T11:38:00Z</dcterms:created>
  <dcterms:modified xsi:type="dcterms:W3CDTF">2019-03-10T10:58:00Z</dcterms:modified>
</cp:coreProperties>
</file>