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AEFD" w14:textId="147F6210" w:rsidR="00965D62" w:rsidRPr="005E5158" w:rsidRDefault="00BA6A6A" w:rsidP="00851A80">
      <w:pPr>
        <w:pStyle w:val="Heading1"/>
      </w:pPr>
      <w:bookmarkStart w:id="0" w:name="_GoBack"/>
      <w:bookmarkEnd w:id="0"/>
      <w:r>
        <w:t xml:space="preserve">S5 </w:t>
      </w:r>
      <w:r w:rsidR="00E67124" w:rsidRPr="005E5158">
        <w:t>Appendix</w:t>
      </w:r>
    </w:p>
    <w:p w14:paraId="5542E5F8" w14:textId="1765D671" w:rsidR="00E2357B" w:rsidRPr="005E5158" w:rsidRDefault="00F5238E" w:rsidP="00F01831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  <w:r w:rsidRPr="005E5158">
        <w:rPr>
          <w:rFonts w:cs="Times New Roman"/>
          <w:sz w:val="24"/>
          <w:szCs w:val="24"/>
        </w:rPr>
        <w:t xml:space="preserve">To </w:t>
      </w:r>
      <w:r w:rsidR="008E286B" w:rsidRPr="005E5158">
        <w:rPr>
          <w:rFonts w:cs="Times New Roman"/>
          <w:sz w:val="24"/>
          <w:szCs w:val="24"/>
        </w:rPr>
        <w:t>reduce</w:t>
      </w:r>
      <w:r w:rsidRPr="005E5158">
        <w:rPr>
          <w:rFonts w:cs="Times New Roman"/>
          <w:sz w:val="24"/>
          <w:szCs w:val="24"/>
        </w:rPr>
        <w:t xml:space="preserve"> noise </w:t>
      </w:r>
      <w:r w:rsidR="008E286B" w:rsidRPr="005E5158">
        <w:rPr>
          <w:rFonts w:cs="Times New Roman"/>
          <w:sz w:val="24"/>
          <w:szCs w:val="24"/>
        </w:rPr>
        <w:t>within our original and robust</w:t>
      </w:r>
      <w:r w:rsidR="00187358" w:rsidRPr="005E5158">
        <w:rPr>
          <w:rFonts w:cs="Times New Roman"/>
          <w:sz w:val="24"/>
          <w:szCs w:val="24"/>
        </w:rPr>
        <w:t>ness test</w:t>
      </w:r>
      <w:r w:rsidR="008E286B" w:rsidRPr="005E5158">
        <w:rPr>
          <w:rFonts w:cs="Times New Roman"/>
          <w:sz w:val="24"/>
          <w:szCs w:val="24"/>
        </w:rPr>
        <w:t xml:space="preserve"> estimates, </w:t>
      </w:r>
      <w:r w:rsidR="00883CBE" w:rsidRPr="005E5158">
        <w:rPr>
          <w:rFonts w:cs="Times New Roman"/>
          <w:sz w:val="24"/>
          <w:szCs w:val="24"/>
        </w:rPr>
        <w:t xml:space="preserve">values </w:t>
      </w:r>
      <w:r w:rsidR="00B95FCE" w:rsidRPr="005E5158">
        <w:rPr>
          <w:rFonts w:cs="Times New Roman"/>
          <w:sz w:val="24"/>
          <w:szCs w:val="24"/>
        </w:rPr>
        <w:t>for</w:t>
      </w:r>
      <w:r w:rsidR="00883CBE" w:rsidRPr="005E5158">
        <w:rPr>
          <w:rFonts w:cs="Times New Roman"/>
          <w:sz w:val="24"/>
          <w:szCs w:val="24"/>
        </w:rPr>
        <w:t xml:space="preserve"> the</w:t>
      </w:r>
      <w:r w:rsidR="006C7194" w:rsidRPr="005E5158">
        <w:rPr>
          <w:rFonts w:cs="Times New Roman"/>
          <w:sz w:val="24"/>
          <w:szCs w:val="24"/>
        </w:rPr>
        <w:t xml:space="preserve"> “spatially averaged” estimates</w:t>
      </w:r>
      <w:r w:rsidR="00883CBE" w:rsidRPr="005E5158">
        <w:rPr>
          <w:rFonts w:cs="Times New Roman"/>
          <w:sz w:val="24"/>
          <w:szCs w:val="24"/>
        </w:rPr>
        <w:t xml:space="preserve"> are </w:t>
      </w:r>
      <w:r w:rsidR="00CD3578" w:rsidRPr="005E5158">
        <w:rPr>
          <w:rFonts w:cs="Times New Roman"/>
          <w:sz w:val="24"/>
          <w:szCs w:val="24"/>
        </w:rPr>
        <w:t xml:space="preserve">calculated as </w:t>
      </w:r>
      <w:r w:rsidR="00883CBE" w:rsidRPr="005E5158">
        <w:rPr>
          <w:rFonts w:cs="Times New Roman"/>
          <w:sz w:val="24"/>
          <w:szCs w:val="24"/>
        </w:rPr>
        <w:t>a linear combination</w:t>
      </w:r>
      <w:r w:rsidR="00CD3578" w:rsidRPr="005E5158">
        <w:rPr>
          <w:rFonts w:cs="Times New Roman"/>
          <w:sz w:val="24"/>
          <w:szCs w:val="24"/>
        </w:rPr>
        <w:t xml:space="preserve"> (according to a set of </w:t>
      </w:r>
      <w:r w:rsidR="00CD3578" w:rsidRPr="005E5158">
        <w:rPr>
          <w:rFonts w:cs="Times New Roman"/>
          <w:i/>
          <w:sz w:val="24"/>
          <w:szCs w:val="24"/>
        </w:rPr>
        <w:t>focal weights</w:t>
      </w:r>
      <w:r w:rsidR="00CD3578" w:rsidRPr="005E5158">
        <w:rPr>
          <w:rFonts w:cs="Times New Roman"/>
          <w:sz w:val="24"/>
          <w:szCs w:val="24"/>
        </w:rPr>
        <w:t>)</w:t>
      </w:r>
      <w:r w:rsidR="00883CBE" w:rsidRPr="005E5158">
        <w:rPr>
          <w:rFonts w:cs="Times New Roman"/>
          <w:sz w:val="24"/>
          <w:szCs w:val="24"/>
        </w:rPr>
        <w:t xml:space="preserve"> of pixel values</w:t>
      </w:r>
      <w:r w:rsidR="00CD3578" w:rsidRPr="005E5158">
        <w:rPr>
          <w:rFonts w:cs="Times New Roman"/>
          <w:sz w:val="24"/>
          <w:szCs w:val="24"/>
        </w:rPr>
        <w:t xml:space="preserve"> </w:t>
      </w:r>
      <w:r w:rsidR="00883CBE" w:rsidRPr="005E5158">
        <w:rPr>
          <w:rFonts w:cs="Times New Roman"/>
          <w:sz w:val="24"/>
          <w:szCs w:val="24"/>
        </w:rPr>
        <w:t>within a defined neighborhood</w:t>
      </w:r>
      <w:r w:rsidR="00CD3578" w:rsidRPr="005E5158">
        <w:rPr>
          <w:rFonts w:cs="Times New Roman"/>
          <w:sz w:val="24"/>
          <w:szCs w:val="24"/>
        </w:rPr>
        <w:t>.</w:t>
      </w:r>
      <w:r w:rsidR="00883CBE" w:rsidRPr="005E5158">
        <w:rPr>
          <w:rFonts w:cs="Times New Roman"/>
          <w:sz w:val="24"/>
          <w:szCs w:val="24"/>
        </w:rPr>
        <w:t xml:space="preserve"> </w:t>
      </w:r>
      <w:r w:rsidR="00BF015D" w:rsidRPr="005E5158">
        <w:rPr>
          <w:rFonts w:cs="Times New Roman"/>
          <w:sz w:val="24"/>
          <w:szCs w:val="24"/>
        </w:rPr>
        <w:t>The focal weights within the</w:t>
      </w:r>
      <w:r w:rsidR="00E2357B" w:rsidRPr="005E5158">
        <w:rPr>
          <w:rFonts w:cs="Times New Roman"/>
          <w:sz w:val="24"/>
          <w:szCs w:val="24"/>
        </w:rPr>
        <w:t xml:space="preserve"> neighborhood</w:t>
      </w:r>
      <w:r w:rsidR="00C95509" w:rsidRPr="005E5158">
        <w:rPr>
          <w:rFonts w:cs="Times New Roman"/>
          <w:sz w:val="24"/>
          <w:szCs w:val="24"/>
        </w:rPr>
        <w:t xml:space="preserve"> of </w:t>
      </w:r>
      <w:r w:rsidR="00B95FCE" w:rsidRPr="005E5158">
        <w:rPr>
          <w:rFonts w:cs="Times New Roman"/>
          <w:sz w:val="24"/>
          <w:szCs w:val="24"/>
        </w:rPr>
        <w:t>an</w:t>
      </w:r>
      <w:r w:rsidR="00FF05CD" w:rsidRPr="005E5158">
        <w:rPr>
          <w:rFonts w:cs="Times New Roman"/>
          <w:sz w:val="24"/>
          <w:szCs w:val="24"/>
        </w:rPr>
        <w:t>y</w:t>
      </w:r>
      <w:r w:rsidR="00B95FCE" w:rsidRPr="005E5158">
        <w:rPr>
          <w:rFonts w:cs="Times New Roman"/>
          <w:sz w:val="24"/>
          <w:szCs w:val="24"/>
        </w:rPr>
        <w:t xml:space="preserve"> particular </w:t>
      </w:r>
      <w:r w:rsidR="00C95509" w:rsidRPr="005E5158">
        <w:rPr>
          <w:rFonts w:cs="Times New Roman"/>
          <w:sz w:val="24"/>
          <w:szCs w:val="24"/>
        </w:rPr>
        <w:t xml:space="preserve">pixel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2357B" w:rsidRPr="005E5158">
        <w:rPr>
          <w:rFonts w:cs="Times New Roman"/>
          <w:sz w:val="24"/>
          <w:szCs w:val="24"/>
        </w:rPr>
        <w:t xml:space="preserve"> are determined by </w:t>
      </w:r>
      <w:r w:rsidR="00C95509" w:rsidRPr="005E5158">
        <w:rPr>
          <w:rFonts w:cs="Times New Roman"/>
          <w:sz w:val="24"/>
          <w:szCs w:val="24"/>
        </w:rPr>
        <w:t xml:space="preserve">a 2-dimensional Gaussian </w:t>
      </w:r>
      <w:r w:rsidR="00E2357B" w:rsidRPr="005E5158">
        <w:rPr>
          <w:rFonts w:cs="Times New Roman"/>
          <w:sz w:val="24"/>
          <w:szCs w:val="24"/>
        </w:rPr>
        <w:t>f</w:t>
      </w:r>
      <w:r w:rsidR="004E1151" w:rsidRPr="005E5158">
        <w:rPr>
          <w:rFonts w:cs="Times New Roman"/>
          <w:sz w:val="24"/>
          <w:szCs w:val="24"/>
        </w:rPr>
        <w:t>ilter</w:t>
      </w:r>
      <w:r w:rsidR="00C95509" w:rsidRPr="005E5158">
        <w:rPr>
          <w:rFonts w:cs="Times New Roman"/>
          <w:sz w:val="24"/>
          <w:szCs w:val="24"/>
        </w:rPr>
        <w:t xml:space="preserve"> such that</w:t>
      </w:r>
      <w:r w:rsidR="00E2357B" w:rsidRPr="005E5158">
        <w:rPr>
          <w:rFonts w:cs="Times New Roman"/>
          <w:sz w:val="24"/>
          <w:szCs w:val="24"/>
        </w:rPr>
        <w:t xml:space="preserve">: </w:t>
      </w:r>
      <w:r w:rsidR="004F61C9" w:rsidRPr="005E5158">
        <w:rPr>
          <w:rFonts w:cs="Times New Roman"/>
          <w:sz w:val="24"/>
          <w:szCs w:val="24"/>
        </w:rPr>
        <w:t xml:space="preserve"> </w:t>
      </w:r>
    </w:p>
    <w:p w14:paraId="027D2E91" w14:textId="1663AD21" w:rsidR="00E2357B" w:rsidRPr="005E5158" w:rsidRDefault="00E67124" w:rsidP="00851A80">
      <w:pPr>
        <w:spacing w:after="0" w:line="480" w:lineRule="auto"/>
        <w:ind w:firstLine="360"/>
        <w:jc w:val="both"/>
        <w:rPr>
          <w:rFonts w:cs="Times New Roman"/>
          <w:sz w:val="24"/>
          <w:szCs w:val="24"/>
        </w:rPr>
      </w:pPr>
      <w:r w:rsidRPr="005E5158">
        <w:rPr>
          <w:rFonts w:cs="Times New Roman"/>
          <w:sz w:val="24"/>
          <w:szCs w:val="24"/>
        </w:rPr>
        <w:t>(</w:t>
      </w:r>
      <w:r w:rsidR="00747AFE" w:rsidRPr="005E5158">
        <w:rPr>
          <w:rFonts w:cs="Times New Roman"/>
          <w:sz w:val="24"/>
          <w:szCs w:val="24"/>
        </w:rPr>
        <w:t>S5</w:t>
      </w:r>
      <w:r w:rsidR="00AC6AF6">
        <w:rPr>
          <w:rFonts w:cs="Times New Roman"/>
          <w:sz w:val="24"/>
          <w:szCs w:val="24"/>
        </w:rPr>
        <w:t>-1)</w:t>
      </w:r>
      <w:r w:rsidR="00AC6AF6">
        <w:rPr>
          <w:rFonts w:cs="Times New Roman"/>
          <w:sz w:val="24"/>
          <w:szCs w:val="24"/>
        </w:rPr>
        <w:tab/>
      </w:r>
      <w:r w:rsidR="00AC6AF6">
        <w:rPr>
          <w:rFonts w:cs="Times New Roman"/>
          <w:sz w:val="24"/>
          <w:szCs w:val="24"/>
        </w:rPr>
        <w:tab/>
      </w:r>
      <w:r w:rsidR="00AC6AF6">
        <w:rPr>
          <w:rFonts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 y, σ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sup>
        </m:sSup>
      </m:oMath>
    </w:p>
    <w:p w14:paraId="1770317E" w14:textId="31DCC914" w:rsidR="00E2357B" w:rsidRPr="005E5158" w:rsidRDefault="00E2357B" w:rsidP="00AC6AF6">
      <w:pPr>
        <w:spacing w:after="0" w:line="480" w:lineRule="auto"/>
        <w:jc w:val="both"/>
        <w:rPr>
          <w:rFonts w:cs="Times New Roman"/>
          <w:sz w:val="24"/>
          <w:szCs w:val="24"/>
        </w:rPr>
      </w:pPr>
      <w:proofErr w:type="gramStart"/>
      <w:r w:rsidRPr="005E5158">
        <w:rPr>
          <w:rFonts w:cs="Times New Roman"/>
          <w:sz w:val="24"/>
          <w:szCs w:val="24"/>
        </w:rPr>
        <w:t>where</w:t>
      </w:r>
      <w:proofErr w:type="gramEnd"/>
      <w:r w:rsidRPr="005E5158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E5158">
        <w:rPr>
          <w:rFonts w:eastAsiaTheme="minorEastAsia" w:cs="Times New Roman"/>
          <w:sz w:val="24"/>
          <w:szCs w:val="24"/>
        </w:rPr>
        <w:t xml:space="preserve"> is the distance from pixel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5E5158">
        <w:rPr>
          <w:rFonts w:eastAsiaTheme="minorEastAsia" w:cs="Times New Roman"/>
          <w:sz w:val="24"/>
          <w:szCs w:val="24"/>
        </w:rPr>
        <w:t xml:space="preserve"> along the horizontal axis,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5E5158">
        <w:rPr>
          <w:rFonts w:eastAsiaTheme="minorEastAsia" w:cs="Times New Roman"/>
          <w:sz w:val="24"/>
          <w:szCs w:val="24"/>
        </w:rPr>
        <w:t xml:space="preserve"> is the distance from pixel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5E5158">
        <w:rPr>
          <w:rFonts w:eastAsiaTheme="minorEastAsia" w:cs="Times New Roman"/>
          <w:sz w:val="24"/>
          <w:szCs w:val="24"/>
        </w:rPr>
        <w:t xml:space="preserve"> along the vertical axis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5E5158">
        <w:rPr>
          <w:rFonts w:eastAsiaTheme="minorEastAsia" w:cs="Times New Roman"/>
          <w:sz w:val="24"/>
          <w:szCs w:val="24"/>
        </w:rPr>
        <w:t xml:space="preserve"> is the standard deviation of the Gaussian probability density function. </w:t>
      </w:r>
      <w:r w:rsidR="000B7118" w:rsidRPr="005E5158">
        <w:rPr>
          <w:rFonts w:eastAsiaTheme="minorEastAsia" w:cs="Times New Roman"/>
          <w:sz w:val="24"/>
          <w:szCs w:val="24"/>
        </w:rPr>
        <w:t xml:space="preserve">Focal weights are normalized to sum to one within the specified neighborhood. </w:t>
      </w:r>
    </w:p>
    <w:p w14:paraId="619DFC4B" w14:textId="7C64324A" w:rsidR="00B23993" w:rsidRPr="005E5158" w:rsidRDefault="00BF015D" w:rsidP="00F01831">
      <w:pPr>
        <w:spacing w:after="0" w:line="480" w:lineRule="auto"/>
        <w:ind w:firstLine="720"/>
        <w:jc w:val="both"/>
        <w:rPr>
          <w:rFonts w:eastAsiaTheme="minorEastAsia" w:cs="Times New Roman"/>
          <w:sz w:val="24"/>
          <w:szCs w:val="24"/>
        </w:rPr>
      </w:pPr>
      <w:r w:rsidRPr="005E5158">
        <w:rPr>
          <w:rFonts w:eastAsiaTheme="minorEastAsia" w:cs="Times New Roman"/>
          <w:sz w:val="24"/>
          <w:szCs w:val="24"/>
        </w:rPr>
        <w:t>Fig</w:t>
      </w:r>
      <w:r w:rsidR="00B34101" w:rsidRPr="005E5158">
        <w:rPr>
          <w:rFonts w:eastAsiaTheme="minorEastAsia" w:cs="Times New Roman"/>
          <w:sz w:val="24"/>
          <w:szCs w:val="24"/>
        </w:rPr>
        <w:t xml:space="preserve"> </w:t>
      </w:r>
      <w:r w:rsidR="003C388E">
        <w:rPr>
          <w:rFonts w:eastAsiaTheme="minorEastAsia" w:cs="Times New Roman"/>
          <w:sz w:val="24"/>
          <w:szCs w:val="24"/>
        </w:rPr>
        <w:t>A</w:t>
      </w:r>
      <w:r w:rsidR="00E67124" w:rsidRPr="005E5158">
        <w:rPr>
          <w:rFonts w:eastAsiaTheme="minorEastAsia" w:cs="Times New Roman"/>
          <w:sz w:val="24"/>
          <w:szCs w:val="24"/>
        </w:rPr>
        <w:t>, Panel a</w:t>
      </w:r>
      <w:r w:rsidR="00D0605E" w:rsidRPr="005E5158">
        <w:rPr>
          <w:rFonts w:eastAsiaTheme="minorEastAsia" w:cs="Times New Roman"/>
          <w:sz w:val="24"/>
          <w:szCs w:val="24"/>
        </w:rPr>
        <w:t xml:space="preserve"> </w:t>
      </w:r>
      <w:r w:rsidR="00B34101" w:rsidRPr="005E5158">
        <w:rPr>
          <w:rFonts w:eastAsiaTheme="minorEastAsia" w:cs="Times New Roman"/>
          <w:sz w:val="24"/>
          <w:szCs w:val="24"/>
        </w:rPr>
        <w:t>show</w:t>
      </w:r>
      <w:r w:rsidR="00E67124" w:rsidRPr="005E5158">
        <w:rPr>
          <w:rFonts w:eastAsiaTheme="minorEastAsia" w:cs="Times New Roman"/>
          <w:sz w:val="24"/>
          <w:szCs w:val="24"/>
        </w:rPr>
        <w:t>s</w:t>
      </w:r>
      <w:r w:rsidR="00B34101" w:rsidRPr="005E5158">
        <w:rPr>
          <w:rFonts w:eastAsiaTheme="minorEastAsia" w:cs="Times New Roman"/>
          <w:sz w:val="24"/>
          <w:szCs w:val="24"/>
        </w:rPr>
        <w:t xml:space="preserve"> examples of</w:t>
      </w:r>
      <w:r w:rsidR="00D0605E" w:rsidRPr="005E5158">
        <w:rPr>
          <w:rFonts w:eastAsiaTheme="minorEastAsia" w:cs="Times New Roman"/>
          <w:sz w:val="24"/>
          <w:szCs w:val="24"/>
        </w:rPr>
        <w:t xml:space="preserve"> different</w:t>
      </w:r>
      <w:r w:rsidR="00B34101" w:rsidRPr="005E5158">
        <w:rPr>
          <w:rFonts w:eastAsiaTheme="minorEastAsia" w:cs="Times New Roman"/>
          <w:sz w:val="24"/>
          <w:szCs w:val="24"/>
        </w:rPr>
        <w:t xml:space="preserve"> </w:t>
      </w:r>
      <w:r w:rsidR="004E1151" w:rsidRPr="005E5158">
        <w:rPr>
          <w:rFonts w:eastAsiaTheme="minorEastAsia" w:cs="Times New Roman"/>
          <w:sz w:val="24"/>
          <w:szCs w:val="24"/>
        </w:rPr>
        <w:t xml:space="preserve">sets of </w:t>
      </w:r>
      <w:r w:rsidR="000B7118" w:rsidRPr="005E5158">
        <w:rPr>
          <w:rFonts w:eastAsiaTheme="minorEastAsia" w:cs="Times New Roman"/>
          <w:sz w:val="24"/>
          <w:szCs w:val="24"/>
        </w:rPr>
        <w:t xml:space="preserve">focal weights </w:t>
      </w:r>
      <w:r w:rsidR="00B34101" w:rsidRPr="005E5158">
        <w:rPr>
          <w:rFonts w:eastAsiaTheme="minorEastAsia" w:cs="Times New Roman"/>
          <w:sz w:val="24"/>
          <w:szCs w:val="24"/>
        </w:rPr>
        <w:t xml:space="preserve">(expressed as percentages) </w:t>
      </w:r>
      <w:r w:rsidR="00D0605E" w:rsidRPr="005E5158">
        <w:rPr>
          <w:rFonts w:eastAsiaTheme="minorEastAsia" w:cs="Times New Roman"/>
          <w:sz w:val="24"/>
          <w:szCs w:val="24"/>
        </w:rPr>
        <w:t xml:space="preserve">using </w:t>
      </w:r>
      <w:r w:rsidRPr="005E5158">
        <w:rPr>
          <w:rFonts w:eastAsiaTheme="minorEastAsia" w:cs="Times New Roman"/>
          <w:sz w:val="24"/>
          <w:szCs w:val="24"/>
        </w:rPr>
        <w:t xml:space="preserve">a </w:t>
      </w:r>
      <w:r w:rsidR="00D0605E" w:rsidRPr="005E5158">
        <w:rPr>
          <w:rFonts w:eastAsiaTheme="minorEastAsia" w:cs="Times New Roman"/>
          <w:sz w:val="24"/>
          <w:szCs w:val="24"/>
        </w:rPr>
        <w:t>circular neighborhood</w:t>
      </w:r>
      <w:r w:rsidRPr="005E5158">
        <w:rPr>
          <w:rFonts w:eastAsiaTheme="minorEastAsia" w:cs="Times New Roman"/>
          <w:sz w:val="24"/>
          <w:szCs w:val="24"/>
        </w:rPr>
        <w:t xml:space="preserve"> of various radii</w:t>
      </w:r>
      <w:r w:rsidR="004E1151" w:rsidRPr="005E5158">
        <w:rPr>
          <w:rFonts w:eastAsiaTheme="minorEastAsia" w:cs="Times New Roman"/>
          <w:sz w:val="24"/>
          <w:szCs w:val="24"/>
        </w:rPr>
        <w:t xml:space="preserve">. </w:t>
      </w:r>
      <w:r w:rsidR="004E1151" w:rsidRPr="005E5158">
        <w:rPr>
          <w:rFonts w:cs="Times New Roman"/>
          <w:sz w:val="24"/>
          <w:szCs w:val="24"/>
        </w:rPr>
        <w:t xml:space="preserve">According to the Gaussian function, the most weight is placed on pixel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4E1151" w:rsidRPr="005E5158">
        <w:rPr>
          <w:rFonts w:eastAsiaTheme="minorEastAsia" w:cs="Times New Roman"/>
          <w:sz w:val="24"/>
          <w:szCs w:val="24"/>
        </w:rPr>
        <w:t xml:space="preserve"> (highlighted with a dashed, red line)</w:t>
      </w:r>
      <w:r w:rsidR="004E1151" w:rsidRPr="005E5158">
        <w:rPr>
          <w:rFonts w:cs="Times New Roman"/>
          <w:sz w:val="24"/>
          <w:szCs w:val="24"/>
        </w:rPr>
        <w:t xml:space="preserve"> and successively less weight </w:t>
      </w:r>
      <w:r w:rsidR="00B23993" w:rsidRPr="005E5158">
        <w:rPr>
          <w:rFonts w:cs="Times New Roman"/>
          <w:sz w:val="24"/>
          <w:szCs w:val="24"/>
        </w:rPr>
        <w:t xml:space="preserve">on more distant </w:t>
      </w:r>
      <w:r w:rsidR="004E1151" w:rsidRPr="005E5158">
        <w:rPr>
          <w:rFonts w:cs="Times New Roman"/>
          <w:sz w:val="24"/>
          <w:szCs w:val="24"/>
        </w:rPr>
        <w:t xml:space="preserve">pixels within the </w:t>
      </w:r>
      <w:r w:rsidR="00B23993" w:rsidRPr="005E5158">
        <w:rPr>
          <w:rFonts w:cs="Times New Roman"/>
          <w:sz w:val="24"/>
          <w:szCs w:val="24"/>
        </w:rPr>
        <w:t xml:space="preserve">designated </w:t>
      </w:r>
      <w:r w:rsidR="004E1151" w:rsidRPr="005E5158">
        <w:rPr>
          <w:rFonts w:cs="Times New Roman"/>
          <w:sz w:val="24"/>
          <w:szCs w:val="24"/>
        </w:rPr>
        <w:t xml:space="preserve">neighborhood (solid, red line). </w:t>
      </w:r>
      <w:r w:rsidRPr="005E5158">
        <w:rPr>
          <w:rFonts w:eastAsiaTheme="minorEastAsia" w:cs="Times New Roman"/>
          <w:sz w:val="24"/>
          <w:szCs w:val="24"/>
        </w:rPr>
        <w:t xml:space="preserve">To maintain the shape of the (infinite) Gaussian curve when we use a finite set of focal weights, we choose a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5E5158">
        <w:rPr>
          <w:rFonts w:eastAsiaTheme="minorEastAsia" w:cs="Times New Roman"/>
          <w:sz w:val="24"/>
          <w:szCs w:val="24"/>
        </w:rPr>
        <w:t xml:space="preserve"> such that the radius of the focal weight is equal to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5E5158">
        <w:rPr>
          <w:rFonts w:eastAsiaTheme="minorEastAsia" w:cs="Times New Roman"/>
          <w:sz w:val="24"/>
          <w:szCs w:val="24"/>
        </w:rPr>
        <w:t xml:space="preserve">. </w:t>
      </w:r>
      <w:r w:rsidR="00E25A9B" w:rsidRPr="005E5158">
        <w:rPr>
          <w:rFonts w:eastAsiaTheme="minorEastAsia" w:cs="Times New Roman"/>
          <w:sz w:val="24"/>
          <w:szCs w:val="24"/>
        </w:rPr>
        <w:t>This is because 99.7</w:t>
      </w:r>
      <w:r w:rsidRPr="005E5158">
        <w:rPr>
          <w:rFonts w:eastAsiaTheme="minorEastAsia" w:cs="Times New Roman"/>
          <w:sz w:val="24"/>
          <w:szCs w:val="24"/>
        </w:rPr>
        <w:t xml:space="preserve"> percent of the total integral of an infinite Gaussian filter </w:t>
      </w:r>
      <w:r w:rsidR="00E25A9B" w:rsidRPr="005E5158">
        <w:rPr>
          <w:rFonts w:eastAsiaTheme="minorEastAsia" w:cs="Times New Roman"/>
          <w:sz w:val="24"/>
          <w:szCs w:val="24"/>
        </w:rPr>
        <w:t xml:space="preserve">falls within a radius </w:t>
      </w:r>
      <w:proofErr w:type="gramStart"/>
      <w:r w:rsidR="00E25A9B" w:rsidRPr="005E5158">
        <w:rPr>
          <w:rFonts w:eastAsiaTheme="minorEastAsia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3σ</m:t>
        </m:r>
      </m:oMath>
      <w:r w:rsidR="00E25A9B" w:rsidRPr="005E5158">
        <w:rPr>
          <w:rFonts w:eastAsiaTheme="minorEastAsia" w:cs="Times New Roman"/>
          <w:sz w:val="24"/>
          <w:szCs w:val="24"/>
        </w:rPr>
        <w:t>.</w:t>
      </w:r>
      <w:r w:rsidRPr="005E5158">
        <w:rPr>
          <w:rFonts w:eastAsiaTheme="minorEastAsia" w:cs="Times New Roman"/>
          <w:sz w:val="24"/>
          <w:szCs w:val="24"/>
        </w:rPr>
        <w:t xml:space="preserve"> </w:t>
      </w:r>
    </w:p>
    <w:p w14:paraId="2162ADEA" w14:textId="5EDAF9AA" w:rsidR="00460C1B" w:rsidRDefault="00E25A9B" w:rsidP="00460C1B">
      <w:pPr>
        <w:spacing w:after="0" w:line="480" w:lineRule="auto"/>
        <w:ind w:firstLine="720"/>
        <w:jc w:val="both"/>
        <w:rPr>
          <w:rFonts w:eastAsiaTheme="minorEastAsia" w:cs="Times New Roman"/>
          <w:sz w:val="24"/>
          <w:szCs w:val="24"/>
        </w:rPr>
      </w:pPr>
      <w:r w:rsidRPr="005E5158">
        <w:rPr>
          <w:rFonts w:eastAsiaTheme="minorEastAsia" w:cs="Times New Roman"/>
          <w:sz w:val="24"/>
          <w:szCs w:val="24"/>
        </w:rPr>
        <w:t>Fig</w:t>
      </w:r>
      <w:r w:rsidR="00E67124" w:rsidRPr="005E5158">
        <w:rPr>
          <w:rFonts w:eastAsiaTheme="minorEastAsia" w:cs="Times New Roman"/>
          <w:sz w:val="24"/>
          <w:szCs w:val="24"/>
        </w:rPr>
        <w:t xml:space="preserve"> </w:t>
      </w:r>
      <w:r w:rsidR="003C388E">
        <w:rPr>
          <w:rFonts w:eastAsiaTheme="minorEastAsia" w:cs="Times New Roman"/>
          <w:sz w:val="24"/>
          <w:szCs w:val="24"/>
        </w:rPr>
        <w:t>A</w:t>
      </w:r>
      <w:r w:rsidR="00E67124" w:rsidRPr="005E5158">
        <w:rPr>
          <w:rFonts w:eastAsiaTheme="minorEastAsia" w:cs="Times New Roman"/>
          <w:sz w:val="24"/>
          <w:szCs w:val="24"/>
        </w:rPr>
        <w:t>, Panel b shows cropland in Nigeria</w:t>
      </w:r>
      <w:r w:rsidRPr="005E5158">
        <w:rPr>
          <w:rFonts w:eastAsiaTheme="minorEastAsia" w:cs="Times New Roman"/>
          <w:sz w:val="24"/>
          <w:szCs w:val="24"/>
        </w:rPr>
        <w:t xml:space="preserve"> that has been smoothed using focal weights with increasing combinations of radius </w:t>
      </w:r>
      <w:proofErr w:type="gramStart"/>
      <w:r w:rsidRPr="005E5158">
        <w:rPr>
          <w:rFonts w:eastAsiaTheme="minorEastAsia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5E5158">
        <w:rPr>
          <w:rFonts w:eastAsiaTheme="minorEastAsia" w:cs="Times New Roman"/>
          <w:sz w:val="24"/>
          <w:szCs w:val="24"/>
        </w:rPr>
        <w:t xml:space="preserve">. As the size of the neighborhood increases, </w:t>
      </w:r>
      <w:r w:rsidR="00CD5066" w:rsidRPr="005E5158">
        <w:rPr>
          <w:rFonts w:eastAsiaTheme="minorEastAsia" w:cs="Times New Roman"/>
          <w:sz w:val="24"/>
          <w:szCs w:val="24"/>
        </w:rPr>
        <w:t xml:space="preserve">the </w:t>
      </w:r>
      <w:r w:rsidR="005C3B41" w:rsidRPr="005E5158">
        <w:rPr>
          <w:rFonts w:eastAsiaTheme="minorEastAsia" w:cs="Times New Roman"/>
          <w:sz w:val="24"/>
          <w:szCs w:val="24"/>
        </w:rPr>
        <w:t xml:space="preserve">variation </w:t>
      </w:r>
      <w:r w:rsidR="00CD5066" w:rsidRPr="005E5158">
        <w:rPr>
          <w:rFonts w:eastAsiaTheme="minorEastAsia" w:cs="Times New Roman"/>
          <w:sz w:val="24"/>
          <w:szCs w:val="24"/>
        </w:rPr>
        <w:t xml:space="preserve">among the now “spatially averaged” pixels </w:t>
      </w:r>
      <w:r w:rsidR="005C3B41" w:rsidRPr="005E5158">
        <w:rPr>
          <w:rFonts w:eastAsiaTheme="minorEastAsia" w:cs="Times New Roman"/>
          <w:sz w:val="24"/>
          <w:szCs w:val="24"/>
        </w:rPr>
        <w:t xml:space="preserve">decreases. </w:t>
      </w:r>
      <w:r w:rsidR="00B34101" w:rsidRPr="005E5158">
        <w:rPr>
          <w:rFonts w:eastAsiaTheme="minorEastAsia" w:cs="Times New Roman"/>
          <w:sz w:val="24"/>
          <w:szCs w:val="24"/>
        </w:rPr>
        <w:t>SPAM2005 reports estimates at a 5 arc-minute pixel resolution</w:t>
      </w:r>
      <w:r w:rsidR="00DB3A91" w:rsidRPr="005E5158">
        <w:rPr>
          <w:rFonts w:eastAsiaTheme="minorEastAsia" w:cs="Times New Roman"/>
          <w:sz w:val="24"/>
          <w:szCs w:val="24"/>
        </w:rPr>
        <w:t xml:space="preserve">, </w:t>
      </w:r>
      <w:r w:rsidR="00B34101" w:rsidRPr="005E5158">
        <w:rPr>
          <w:rFonts w:eastAsiaTheme="minorEastAsia" w:cs="Times New Roman"/>
          <w:sz w:val="24"/>
          <w:szCs w:val="24"/>
        </w:rPr>
        <w:t xml:space="preserve">which is equal to approximately 10 kilometers at the equator. For the globe, </w:t>
      </w:r>
      <w:r w:rsidR="00535602" w:rsidRPr="005E5158">
        <w:rPr>
          <w:rFonts w:eastAsiaTheme="minorEastAsia" w:cs="Times New Roman"/>
          <w:sz w:val="24"/>
          <w:szCs w:val="24"/>
        </w:rPr>
        <w:t xml:space="preserve">crop producing </w:t>
      </w:r>
      <w:r w:rsidR="00B34101" w:rsidRPr="005E5158">
        <w:rPr>
          <w:rFonts w:eastAsiaTheme="minorEastAsia" w:cs="Times New Roman"/>
          <w:sz w:val="24"/>
          <w:szCs w:val="24"/>
        </w:rPr>
        <w:t>pixel sizes range from 2,774 hectares to 8,</w:t>
      </w:r>
      <w:r w:rsidR="00535602" w:rsidRPr="005E5158">
        <w:rPr>
          <w:rFonts w:eastAsiaTheme="minorEastAsia" w:cs="Times New Roman"/>
          <w:sz w:val="24"/>
          <w:szCs w:val="24"/>
        </w:rPr>
        <w:t>54</w:t>
      </w:r>
      <w:r w:rsidR="00B34101" w:rsidRPr="005E5158">
        <w:rPr>
          <w:rFonts w:eastAsiaTheme="minorEastAsia" w:cs="Times New Roman"/>
          <w:sz w:val="24"/>
          <w:szCs w:val="24"/>
        </w:rPr>
        <w:t xml:space="preserve">8 </w:t>
      </w:r>
      <w:r w:rsidR="00187358" w:rsidRPr="005E5158">
        <w:rPr>
          <w:rFonts w:eastAsiaTheme="minorEastAsia" w:cs="Times New Roman"/>
          <w:sz w:val="24"/>
          <w:szCs w:val="24"/>
        </w:rPr>
        <w:t>hectares. Given this relatively</w:t>
      </w:r>
      <w:r w:rsidR="00B34101" w:rsidRPr="005E5158">
        <w:rPr>
          <w:rFonts w:eastAsiaTheme="minorEastAsia" w:cs="Times New Roman"/>
          <w:sz w:val="24"/>
          <w:szCs w:val="24"/>
        </w:rPr>
        <w:t xml:space="preserve"> large resolution, it seems unlikely that pixels outside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3x3</m:t>
        </m:r>
      </m:oMath>
      <w:r w:rsidR="00B34101" w:rsidRPr="005E5158">
        <w:rPr>
          <w:rFonts w:eastAsiaTheme="minorEastAsia" w:cs="Times New Roman"/>
          <w:sz w:val="24"/>
          <w:szCs w:val="24"/>
        </w:rPr>
        <w:t xml:space="preserve"> </w:t>
      </w:r>
      <w:r w:rsidR="005C3B41" w:rsidRPr="005E5158">
        <w:rPr>
          <w:rFonts w:eastAsiaTheme="minorEastAsia" w:cs="Times New Roman"/>
          <w:sz w:val="24"/>
          <w:szCs w:val="24"/>
        </w:rPr>
        <w:t xml:space="preserve">(1 pixel radius) </w:t>
      </w:r>
      <w:r w:rsidR="00B34101" w:rsidRPr="005E5158">
        <w:rPr>
          <w:rFonts w:eastAsiaTheme="minorEastAsia" w:cs="Times New Roman"/>
          <w:sz w:val="24"/>
          <w:szCs w:val="24"/>
        </w:rPr>
        <w:t xml:space="preserve">window would </w:t>
      </w:r>
      <w:r w:rsidR="00B34101" w:rsidRPr="005E5158">
        <w:rPr>
          <w:rFonts w:eastAsiaTheme="minorEastAsia" w:cs="Times New Roman"/>
          <w:sz w:val="24"/>
          <w:szCs w:val="24"/>
        </w:rPr>
        <w:lastRenderedPageBreak/>
        <w:t>influence the spatial patterns of production within a single pixel. Thus, we use a</w:t>
      </w:r>
      <w:r w:rsidR="005C3B41" w:rsidRPr="005E5158">
        <w:rPr>
          <w:rFonts w:eastAsiaTheme="minorEastAsia" w:cs="Times New Roman"/>
          <w:sz w:val="24"/>
          <w:szCs w:val="24"/>
        </w:rPr>
        <w:t xml:space="preserve"> set of focal weights with a 1 pixel radius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σ=0.33</m:t>
        </m:r>
      </m:oMath>
      <w:r w:rsidR="005C3B41" w:rsidRPr="005E5158">
        <w:rPr>
          <w:rFonts w:eastAsiaTheme="minorEastAsia" w:cs="Times New Roman"/>
          <w:sz w:val="24"/>
          <w:szCs w:val="24"/>
        </w:rPr>
        <w:t xml:space="preserve"> </w:t>
      </w:r>
      <w:r w:rsidR="00B34101" w:rsidRPr="005E5158">
        <w:rPr>
          <w:rFonts w:eastAsiaTheme="minorEastAsia" w:cs="Times New Roman"/>
          <w:sz w:val="24"/>
          <w:szCs w:val="24"/>
        </w:rPr>
        <w:t xml:space="preserve">to spatially smooth our data. </w:t>
      </w:r>
    </w:p>
    <w:p w14:paraId="4AA9088D" w14:textId="50FBBEE1" w:rsidR="00460C1B" w:rsidRPr="00F0195A" w:rsidRDefault="00460C1B" w:rsidP="00460C1B">
      <w:pPr>
        <w:spacing w:line="276" w:lineRule="auto"/>
        <w:rPr>
          <w:rFonts w:eastAsiaTheme="minorEastAsia"/>
          <w:b/>
          <w:sz w:val="24"/>
        </w:rPr>
      </w:pPr>
      <w:r w:rsidRPr="00F0195A">
        <w:rPr>
          <w:b/>
          <w:sz w:val="24"/>
        </w:rPr>
        <w:t xml:space="preserve">Fig </w:t>
      </w:r>
      <w:r w:rsidR="003C388E">
        <w:rPr>
          <w:b/>
          <w:sz w:val="24"/>
        </w:rPr>
        <w:t>A</w:t>
      </w:r>
      <w:r w:rsidRPr="00F0195A">
        <w:rPr>
          <w:b/>
          <w:sz w:val="24"/>
        </w:rPr>
        <w:t xml:space="preserve">: Differences in cropland extent using Gaussian-based focal weights of varying radii and standard deviation </w:t>
      </w:r>
      <m:oMath>
        <m:r>
          <m:rPr>
            <m:sty m:val="bi"/>
          </m:rPr>
          <w:rPr>
            <w:rFonts w:ascii="Cambria Math" w:hAnsi="Cambria Math"/>
            <w:sz w:val="24"/>
          </w:rPr>
          <m:t>σ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460C1B" w14:paraId="62FB11F9" w14:textId="77777777" w:rsidTr="00156DB7">
        <w:tc>
          <w:tcPr>
            <w:tcW w:w="9360" w:type="dxa"/>
            <w:gridSpan w:val="5"/>
          </w:tcPr>
          <w:p w14:paraId="51B9E10A" w14:textId="77777777" w:rsidR="00460C1B" w:rsidRDefault="00460C1B" w:rsidP="00156DB7">
            <w:pPr>
              <w:rPr>
                <w:noProof/>
              </w:rPr>
            </w:pPr>
            <w:r>
              <w:rPr>
                <w:noProof/>
              </w:rPr>
              <w:t>Panel a: Focal weights</w:t>
            </w:r>
          </w:p>
        </w:tc>
      </w:tr>
      <w:tr w:rsidR="00460C1B" w14:paraId="189A80CC" w14:textId="77777777" w:rsidTr="00156DB7">
        <w:tc>
          <w:tcPr>
            <w:tcW w:w="1872" w:type="dxa"/>
          </w:tcPr>
          <w:p w14:paraId="54ED7963" w14:textId="77777777" w:rsidR="00460C1B" w:rsidRDefault="00460C1B" w:rsidP="00156DB7">
            <w:pPr>
              <w:rPr>
                <w:noProof/>
              </w:rPr>
            </w:pPr>
            <w:r w:rsidRPr="008B625E">
              <w:rPr>
                <w:noProof/>
              </w:rPr>
              <w:drawing>
                <wp:inline distT="0" distB="0" distL="0" distR="0" wp14:anchorId="6766B395" wp14:editId="6A043CC2">
                  <wp:extent cx="1142999" cy="13716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Workspace\01_CORE\SPAM Robustness Paper\Figures\Test Figures\fw_circle_0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3556B570" w14:textId="77777777" w:rsidR="00460C1B" w:rsidRDefault="00460C1B" w:rsidP="00156DB7">
            <w:pPr>
              <w:rPr>
                <w:noProof/>
              </w:rPr>
            </w:pPr>
            <w:r w:rsidRPr="008B625E">
              <w:rPr>
                <w:noProof/>
              </w:rPr>
              <w:drawing>
                <wp:inline distT="0" distB="0" distL="0" distR="0" wp14:anchorId="3F9BD251" wp14:editId="57E04038">
                  <wp:extent cx="1142999" cy="137160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Workspace\01_CORE\SPAM Robustness Paper\Figures\Test Figures\fw_circle_1_0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5A7B67CC" w14:textId="77777777" w:rsidR="00460C1B" w:rsidRDefault="00460C1B" w:rsidP="00156DB7">
            <w:pPr>
              <w:rPr>
                <w:noProof/>
              </w:rPr>
            </w:pPr>
            <w:r w:rsidRPr="008B625E">
              <w:rPr>
                <w:noProof/>
              </w:rPr>
              <w:drawing>
                <wp:inline distT="0" distB="0" distL="0" distR="0" wp14:anchorId="510C9988" wp14:editId="6B6AD38A">
                  <wp:extent cx="1142999" cy="13716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Workspace\01_CORE\SPAM Robustness Paper\Figures\Test Figures\fw_circle_2_0.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4B49DC58" w14:textId="77777777" w:rsidR="00460C1B" w:rsidRDefault="00460C1B" w:rsidP="00156DB7">
            <w:pPr>
              <w:rPr>
                <w:noProof/>
              </w:rPr>
            </w:pPr>
            <w:r w:rsidRPr="008B625E">
              <w:rPr>
                <w:noProof/>
              </w:rPr>
              <w:drawing>
                <wp:inline distT="0" distB="0" distL="0" distR="0" wp14:anchorId="7C424CDD" wp14:editId="168BC4AE">
                  <wp:extent cx="1142999" cy="137160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Workspace\01_CORE\SPAM Robustness Paper\Figures\Test Figures\fw_circle_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6B96F0A3" w14:textId="77777777" w:rsidR="00460C1B" w:rsidRDefault="00460C1B" w:rsidP="00156DB7">
            <w:pPr>
              <w:rPr>
                <w:noProof/>
              </w:rPr>
            </w:pPr>
            <w:r w:rsidRPr="008B625E">
              <w:rPr>
                <w:noProof/>
              </w:rPr>
              <w:drawing>
                <wp:inline distT="0" distB="0" distL="0" distR="0" wp14:anchorId="0B050D92" wp14:editId="5BE66305">
                  <wp:extent cx="1142999" cy="13716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Workspace\01_CORE\SPAM Robustness Paper\Figures\Test Figures\fw_circle_4_1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9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1B" w14:paraId="4A380286" w14:textId="77777777" w:rsidTr="00156DB7">
        <w:tc>
          <w:tcPr>
            <w:tcW w:w="9360" w:type="dxa"/>
            <w:gridSpan w:val="5"/>
          </w:tcPr>
          <w:p w14:paraId="7A4BD504" w14:textId="77777777" w:rsidR="00460C1B" w:rsidRPr="00A93F60" w:rsidRDefault="00460C1B" w:rsidP="00156DB7">
            <w:pPr>
              <w:rPr>
                <w:noProof/>
              </w:rPr>
            </w:pPr>
            <w:r>
              <w:rPr>
                <w:noProof/>
              </w:rPr>
              <w:t>Panel b: Cropland extent in Nigeria</w:t>
            </w:r>
          </w:p>
        </w:tc>
      </w:tr>
      <w:tr w:rsidR="00460C1B" w14:paraId="760FD14C" w14:textId="77777777" w:rsidTr="00156DB7">
        <w:tc>
          <w:tcPr>
            <w:tcW w:w="9360" w:type="dxa"/>
            <w:gridSpan w:val="5"/>
          </w:tcPr>
          <w:p w14:paraId="61C5A31F" w14:textId="77777777" w:rsidR="00460C1B" w:rsidRPr="00397C9E" w:rsidRDefault="00460C1B" w:rsidP="00156DB7">
            <w:pPr>
              <w:rPr>
                <w:noProof/>
              </w:rPr>
            </w:pPr>
            <w:r w:rsidRPr="00A93F60">
              <w:rPr>
                <w:noProof/>
              </w:rPr>
              <w:drawing>
                <wp:inline distT="0" distB="0" distL="0" distR="0" wp14:anchorId="30718D82" wp14:editId="0F4E9423">
                  <wp:extent cx="5943600" cy="17373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Workspace\SPAM Robustness Paper\Figures\Test Figures\circle_fil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D462C" w14:textId="77777777" w:rsidR="00460C1B" w:rsidRDefault="00460C1B" w:rsidP="00460C1B">
      <w:pPr>
        <w:rPr>
          <w:sz w:val="20"/>
        </w:rPr>
      </w:pPr>
      <w:r w:rsidRPr="00083B4A">
        <w:rPr>
          <w:i/>
          <w:sz w:val="20"/>
        </w:rPr>
        <w:t>Source:</w:t>
      </w:r>
      <w:r w:rsidRPr="00EC3F82">
        <w:rPr>
          <w:sz w:val="20"/>
        </w:rPr>
        <w:t xml:space="preserve"> Authors’ construction </w:t>
      </w:r>
      <w:r>
        <w:rPr>
          <w:sz w:val="20"/>
        </w:rPr>
        <w:t>using</w:t>
      </w:r>
      <w:r w:rsidRPr="006B4751">
        <w:rPr>
          <w:sz w:val="20"/>
        </w:rPr>
        <w:t xml:space="preserve"> data from </w:t>
      </w:r>
      <w:r>
        <w:rPr>
          <w:sz w:val="20"/>
        </w:rPr>
        <w:t>Fritz et al. (2015).</w:t>
      </w:r>
    </w:p>
    <w:p w14:paraId="5ED9DFAC" w14:textId="2C2DB2E1" w:rsidR="00460C1B" w:rsidRDefault="00460C1B" w:rsidP="00460C1B">
      <w:pPr>
        <w:rPr>
          <w:sz w:val="20"/>
        </w:rPr>
      </w:pPr>
      <w:r w:rsidRPr="00083B4A">
        <w:rPr>
          <w:i/>
          <w:sz w:val="20"/>
        </w:rPr>
        <w:t>Note:</w:t>
      </w:r>
      <w:r>
        <w:rPr>
          <w:sz w:val="20"/>
        </w:rPr>
        <w:t xml:space="preserve"> The dashed, red line highlights the central pixel of interest in Panel a, while the solid red circle highlights the neighborhood of interest. </w:t>
      </w:r>
    </w:p>
    <w:p w14:paraId="70343C8D" w14:textId="77777777" w:rsidR="00610595" w:rsidRDefault="00610595" w:rsidP="00460C1B"/>
    <w:p w14:paraId="0628791E" w14:textId="77777777" w:rsidR="00F0195A" w:rsidRPr="00D55366" w:rsidRDefault="00F0195A" w:rsidP="00F0195A">
      <w:pPr>
        <w:pStyle w:val="Heading2"/>
      </w:pPr>
      <w:bookmarkStart w:id="1" w:name="_Ref433832805"/>
      <w:bookmarkStart w:id="2" w:name="_Ref433832834"/>
      <w:bookmarkStart w:id="3" w:name="_Toc436036299"/>
      <w:r w:rsidRPr="00FC4FD3">
        <w:t>References</w:t>
      </w:r>
    </w:p>
    <w:p w14:paraId="073A6B12" w14:textId="77777777" w:rsidR="00F0195A" w:rsidRPr="00610595" w:rsidRDefault="00F0195A" w:rsidP="006E122F">
      <w:pPr>
        <w:spacing w:after="120" w:line="240" w:lineRule="auto"/>
        <w:ind w:left="360" w:hanging="360"/>
        <w:jc w:val="both"/>
        <w:rPr>
          <w:sz w:val="24"/>
        </w:rPr>
      </w:pPr>
      <w:r w:rsidRPr="00610595">
        <w:rPr>
          <w:color w:val="000000"/>
          <w:sz w:val="24"/>
        </w:rPr>
        <w:t xml:space="preserve">Fritz, S., L. See, I. McCallum, L. You, A. Bun, E. </w:t>
      </w:r>
      <w:proofErr w:type="spellStart"/>
      <w:r w:rsidRPr="00610595">
        <w:rPr>
          <w:color w:val="000000"/>
          <w:sz w:val="24"/>
        </w:rPr>
        <w:t>Moltchanova</w:t>
      </w:r>
      <w:proofErr w:type="spellEnd"/>
      <w:r w:rsidRPr="00610595">
        <w:rPr>
          <w:color w:val="000000"/>
          <w:sz w:val="24"/>
        </w:rPr>
        <w:t xml:space="preserve">, M. </w:t>
      </w:r>
      <w:proofErr w:type="spellStart"/>
      <w:r w:rsidRPr="00610595">
        <w:rPr>
          <w:color w:val="000000"/>
          <w:sz w:val="24"/>
        </w:rPr>
        <w:t>Duerauer</w:t>
      </w:r>
      <w:proofErr w:type="spellEnd"/>
      <w:r w:rsidRPr="00610595">
        <w:rPr>
          <w:color w:val="000000"/>
          <w:sz w:val="24"/>
        </w:rPr>
        <w:t xml:space="preserve">, F. Albrecht, C. </w:t>
      </w:r>
      <w:proofErr w:type="spellStart"/>
      <w:r w:rsidRPr="00610595">
        <w:rPr>
          <w:color w:val="000000"/>
          <w:sz w:val="24"/>
        </w:rPr>
        <w:t>Schill</w:t>
      </w:r>
      <w:proofErr w:type="spellEnd"/>
      <w:r w:rsidRPr="00610595">
        <w:rPr>
          <w:color w:val="000000"/>
          <w:sz w:val="24"/>
        </w:rPr>
        <w:t xml:space="preserve">, C. </w:t>
      </w:r>
      <w:proofErr w:type="spellStart"/>
      <w:r w:rsidRPr="00610595">
        <w:rPr>
          <w:color w:val="000000"/>
          <w:sz w:val="24"/>
        </w:rPr>
        <w:t>Perger</w:t>
      </w:r>
      <w:proofErr w:type="spellEnd"/>
      <w:r w:rsidRPr="00610595">
        <w:rPr>
          <w:color w:val="000000"/>
          <w:sz w:val="24"/>
        </w:rPr>
        <w:t xml:space="preserve">, P. </w:t>
      </w:r>
      <w:proofErr w:type="spellStart"/>
      <w:r w:rsidRPr="00610595">
        <w:rPr>
          <w:color w:val="000000"/>
          <w:sz w:val="24"/>
        </w:rPr>
        <w:t>Havlik</w:t>
      </w:r>
      <w:proofErr w:type="spellEnd"/>
      <w:r w:rsidRPr="00610595">
        <w:rPr>
          <w:color w:val="000000"/>
          <w:sz w:val="24"/>
        </w:rPr>
        <w:t xml:space="preserve">, A. </w:t>
      </w:r>
      <w:proofErr w:type="spellStart"/>
      <w:r w:rsidRPr="00610595">
        <w:rPr>
          <w:color w:val="000000"/>
          <w:sz w:val="24"/>
        </w:rPr>
        <w:t>Mosnier</w:t>
      </w:r>
      <w:proofErr w:type="spellEnd"/>
      <w:r w:rsidRPr="00610595">
        <w:rPr>
          <w:color w:val="000000"/>
          <w:sz w:val="24"/>
        </w:rPr>
        <w:t>, P. Thornton, U. Wood-</w:t>
      </w:r>
      <w:proofErr w:type="spellStart"/>
      <w:r w:rsidRPr="00610595">
        <w:rPr>
          <w:color w:val="000000"/>
          <w:sz w:val="24"/>
        </w:rPr>
        <w:t>Sichra</w:t>
      </w:r>
      <w:proofErr w:type="spellEnd"/>
      <w:r w:rsidRPr="00610595">
        <w:rPr>
          <w:color w:val="000000"/>
          <w:sz w:val="24"/>
        </w:rPr>
        <w:t>, M. Herrero, I. Becker-</w:t>
      </w:r>
      <w:proofErr w:type="spellStart"/>
      <w:r w:rsidRPr="00610595">
        <w:rPr>
          <w:color w:val="000000"/>
          <w:sz w:val="24"/>
        </w:rPr>
        <w:t>Reshef</w:t>
      </w:r>
      <w:proofErr w:type="spellEnd"/>
      <w:r w:rsidRPr="00610595">
        <w:rPr>
          <w:color w:val="000000"/>
          <w:sz w:val="24"/>
        </w:rPr>
        <w:t xml:space="preserve">, C. Justice, M. Hansen, P. Gong, S. Abdel Aziz, A. Cipriani, R. </w:t>
      </w:r>
      <w:proofErr w:type="spellStart"/>
      <w:r w:rsidRPr="00610595">
        <w:rPr>
          <w:color w:val="000000"/>
          <w:sz w:val="24"/>
        </w:rPr>
        <w:t>Cumani</w:t>
      </w:r>
      <w:proofErr w:type="spellEnd"/>
      <w:r w:rsidRPr="00610595">
        <w:rPr>
          <w:color w:val="000000"/>
          <w:sz w:val="24"/>
        </w:rPr>
        <w:t xml:space="preserve">, G. </w:t>
      </w:r>
      <w:proofErr w:type="spellStart"/>
      <w:r w:rsidRPr="00610595">
        <w:rPr>
          <w:color w:val="000000"/>
          <w:sz w:val="24"/>
        </w:rPr>
        <w:t>Cecchi</w:t>
      </w:r>
      <w:proofErr w:type="spellEnd"/>
      <w:r w:rsidRPr="00610595">
        <w:rPr>
          <w:color w:val="000000"/>
          <w:sz w:val="24"/>
        </w:rPr>
        <w:t xml:space="preserve">, G. </w:t>
      </w:r>
      <w:proofErr w:type="spellStart"/>
      <w:r w:rsidRPr="00610595">
        <w:rPr>
          <w:color w:val="000000"/>
          <w:sz w:val="24"/>
        </w:rPr>
        <w:t>Conchedda</w:t>
      </w:r>
      <w:proofErr w:type="spellEnd"/>
      <w:r w:rsidRPr="00610595">
        <w:rPr>
          <w:color w:val="000000"/>
          <w:sz w:val="24"/>
        </w:rPr>
        <w:t xml:space="preserve">, S. Ferreira, A. Gomez, M. </w:t>
      </w:r>
      <w:proofErr w:type="spellStart"/>
      <w:r w:rsidRPr="00610595">
        <w:rPr>
          <w:color w:val="000000"/>
          <w:sz w:val="24"/>
        </w:rPr>
        <w:t>Haffani</w:t>
      </w:r>
      <w:proofErr w:type="spellEnd"/>
      <w:r w:rsidRPr="00610595">
        <w:rPr>
          <w:color w:val="000000"/>
          <w:sz w:val="24"/>
        </w:rPr>
        <w:t xml:space="preserve">, F. </w:t>
      </w:r>
      <w:proofErr w:type="spellStart"/>
      <w:r w:rsidRPr="00610595">
        <w:rPr>
          <w:color w:val="000000"/>
          <w:sz w:val="24"/>
        </w:rPr>
        <w:t>Kayitakire</w:t>
      </w:r>
      <w:proofErr w:type="spellEnd"/>
      <w:r w:rsidRPr="00610595">
        <w:rPr>
          <w:color w:val="000000"/>
          <w:sz w:val="24"/>
        </w:rPr>
        <w:t xml:space="preserve">, J. </w:t>
      </w:r>
      <w:proofErr w:type="spellStart"/>
      <w:r w:rsidRPr="00610595">
        <w:rPr>
          <w:color w:val="000000"/>
          <w:sz w:val="24"/>
        </w:rPr>
        <w:t>Malanding</w:t>
      </w:r>
      <w:proofErr w:type="spellEnd"/>
      <w:r w:rsidRPr="00610595">
        <w:rPr>
          <w:color w:val="000000"/>
          <w:sz w:val="24"/>
        </w:rPr>
        <w:t xml:space="preserve">, R. Mueller, T. Newby, A. </w:t>
      </w:r>
      <w:proofErr w:type="spellStart"/>
      <w:r w:rsidRPr="00610595">
        <w:rPr>
          <w:color w:val="000000"/>
          <w:sz w:val="24"/>
        </w:rPr>
        <w:t>Nonguierma</w:t>
      </w:r>
      <w:proofErr w:type="spellEnd"/>
      <w:r w:rsidRPr="00610595">
        <w:rPr>
          <w:color w:val="000000"/>
          <w:sz w:val="24"/>
        </w:rPr>
        <w:t xml:space="preserve">, A. Olusegun, S. </w:t>
      </w:r>
      <w:proofErr w:type="spellStart"/>
      <w:r w:rsidRPr="00610595">
        <w:rPr>
          <w:color w:val="000000"/>
          <w:sz w:val="24"/>
        </w:rPr>
        <w:t>Ortner</w:t>
      </w:r>
      <w:proofErr w:type="spellEnd"/>
      <w:r w:rsidRPr="00610595">
        <w:rPr>
          <w:color w:val="000000"/>
          <w:sz w:val="24"/>
        </w:rPr>
        <w:t xml:space="preserve">, D.R. </w:t>
      </w:r>
      <w:proofErr w:type="spellStart"/>
      <w:r w:rsidRPr="00610595">
        <w:rPr>
          <w:color w:val="000000"/>
          <w:sz w:val="24"/>
        </w:rPr>
        <w:t>Rajak</w:t>
      </w:r>
      <w:proofErr w:type="spellEnd"/>
      <w:r w:rsidRPr="00610595">
        <w:rPr>
          <w:color w:val="000000"/>
          <w:sz w:val="24"/>
        </w:rPr>
        <w:t xml:space="preserve">, J. Rocha, D. </w:t>
      </w:r>
      <w:proofErr w:type="spellStart"/>
      <w:r w:rsidRPr="00610595">
        <w:rPr>
          <w:color w:val="000000"/>
          <w:sz w:val="24"/>
        </w:rPr>
        <w:t>Schepaschenko</w:t>
      </w:r>
      <w:proofErr w:type="spellEnd"/>
      <w:r w:rsidRPr="00610595">
        <w:rPr>
          <w:color w:val="000000"/>
          <w:sz w:val="24"/>
        </w:rPr>
        <w:t xml:space="preserve">, M. </w:t>
      </w:r>
      <w:proofErr w:type="spellStart"/>
      <w:r w:rsidRPr="00610595">
        <w:rPr>
          <w:color w:val="000000"/>
          <w:sz w:val="24"/>
        </w:rPr>
        <w:t>Schepaschenko</w:t>
      </w:r>
      <w:proofErr w:type="spellEnd"/>
      <w:r w:rsidRPr="00610595">
        <w:rPr>
          <w:color w:val="000000"/>
          <w:sz w:val="24"/>
        </w:rPr>
        <w:t xml:space="preserve">, A. </w:t>
      </w:r>
      <w:proofErr w:type="spellStart"/>
      <w:r w:rsidRPr="00610595">
        <w:rPr>
          <w:color w:val="000000"/>
          <w:sz w:val="24"/>
        </w:rPr>
        <w:t>Terekhov</w:t>
      </w:r>
      <w:proofErr w:type="spellEnd"/>
      <w:r w:rsidRPr="00610595">
        <w:rPr>
          <w:color w:val="000000"/>
          <w:sz w:val="24"/>
        </w:rPr>
        <w:t xml:space="preserve">, A. </w:t>
      </w:r>
      <w:proofErr w:type="spellStart"/>
      <w:r w:rsidRPr="00610595">
        <w:rPr>
          <w:color w:val="000000"/>
          <w:sz w:val="24"/>
        </w:rPr>
        <w:t>Tiangwa</w:t>
      </w:r>
      <w:proofErr w:type="spellEnd"/>
      <w:r w:rsidRPr="00610595">
        <w:rPr>
          <w:color w:val="000000"/>
          <w:sz w:val="24"/>
        </w:rPr>
        <w:t xml:space="preserve">, C. </w:t>
      </w:r>
      <w:proofErr w:type="spellStart"/>
      <w:r w:rsidRPr="00610595">
        <w:rPr>
          <w:color w:val="000000"/>
          <w:sz w:val="24"/>
        </w:rPr>
        <w:t>Vancutsem</w:t>
      </w:r>
      <w:proofErr w:type="spellEnd"/>
      <w:r w:rsidRPr="00610595">
        <w:rPr>
          <w:color w:val="000000"/>
          <w:sz w:val="24"/>
        </w:rPr>
        <w:t xml:space="preserve">, E. </w:t>
      </w:r>
      <w:proofErr w:type="spellStart"/>
      <w:r w:rsidRPr="00610595">
        <w:rPr>
          <w:color w:val="000000"/>
          <w:sz w:val="24"/>
        </w:rPr>
        <w:t>Vintrou</w:t>
      </w:r>
      <w:proofErr w:type="spellEnd"/>
      <w:r w:rsidRPr="00610595">
        <w:rPr>
          <w:color w:val="000000"/>
          <w:sz w:val="24"/>
        </w:rPr>
        <w:t xml:space="preserve">, W. </w:t>
      </w:r>
      <w:proofErr w:type="spellStart"/>
      <w:r w:rsidRPr="00610595">
        <w:rPr>
          <w:color w:val="000000"/>
          <w:sz w:val="24"/>
        </w:rPr>
        <w:t>Wenbin</w:t>
      </w:r>
      <w:proofErr w:type="spellEnd"/>
      <w:r w:rsidRPr="00610595">
        <w:rPr>
          <w:color w:val="000000"/>
          <w:sz w:val="24"/>
        </w:rPr>
        <w:t xml:space="preserve">, M. van der </w:t>
      </w:r>
      <w:proofErr w:type="spellStart"/>
      <w:r w:rsidRPr="00610595">
        <w:rPr>
          <w:color w:val="000000"/>
          <w:sz w:val="24"/>
        </w:rPr>
        <w:t>Velde</w:t>
      </w:r>
      <w:proofErr w:type="spellEnd"/>
      <w:r w:rsidRPr="00610595">
        <w:rPr>
          <w:color w:val="000000"/>
          <w:sz w:val="24"/>
        </w:rPr>
        <w:t xml:space="preserve">, A. Dunwoody, F. </w:t>
      </w:r>
      <w:proofErr w:type="spellStart"/>
      <w:r w:rsidRPr="00610595">
        <w:rPr>
          <w:color w:val="000000"/>
          <w:sz w:val="24"/>
        </w:rPr>
        <w:t>Kraxner</w:t>
      </w:r>
      <w:proofErr w:type="spellEnd"/>
      <w:r w:rsidRPr="00610595">
        <w:rPr>
          <w:color w:val="000000"/>
          <w:sz w:val="24"/>
        </w:rPr>
        <w:t xml:space="preserve"> and M. </w:t>
      </w:r>
      <w:proofErr w:type="spellStart"/>
      <w:r w:rsidRPr="00610595">
        <w:rPr>
          <w:color w:val="000000"/>
          <w:sz w:val="24"/>
        </w:rPr>
        <w:t>Obersteiner</w:t>
      </w:r>
      <w:proofErr w:type="spellEnd"/>
      <w:r w:rsidRPr="00610595">
        <w:rPr>
          <w:color w:val="000000"/>
          <w:sz w:val="24"/>
        </w:rPr>
        <w:t xml:space="preserve">. 2015. “Mapping Global Cropland and Field Size.” </w:t>
      </w:r>
      <w:r w:rsidRPr="00610595">
        <w:rPr>
          <w:i/>
          <w:iCs/>
          <w:color w:val="000000"/>
          <w:sz w:val="24"/>
        </w:rPr>
        <w:t>Global Change Biology</w:t>
      </w:r>
      <w:r w:rsidRPr="00610595">
        <w:rPr>
          <w:color w:val="000000"/>
          <w:sz w:val="24"/>
        </w:rPr>
        <w:t>, 21: 1980–1992. Available from URL: http://www.wur.nl/nl/Publicatie-details.htm?publicationId=publication-way-333433393832 [Accessed December 2016].</w:t>
      </w:r>
    </w:p>
    <w:bookmarkEnd w:id="1"/>
    <w:bookmarkEnd w:id="2"/>
    <w:bookmarkEnd w:id="3"/>
    <w:p w14:paraId="336BF2FF" w14:textId="1AEA56C6" w:rsidR="00710AD2" w:rsidRPr="00B17B88" w:rsidRDefault="00FB41C9" w:rsidP="00610595">
      <w:pPr>
        <w:spacing w:before="120" w:after="120"/>
        <w:jc w:val="both"/>
        <w:rPr>
          <w:sz w:val="20"/>
          <w:szCs w:val="20"/>
        </w:rPr>
      </w:pPr>
      <w:r>
        <w:rPr>
          <w:sz w:val="20"/>
        </w:rPr>
        <w:t xml:space="preserve"> </w:t>
      </w:r>
    </w:p>
    <w:sectPr w:rsidR="00710AD2" w:rsidRPr="00B17B88" w:rsidSect="008567A4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1A12" w14:textId="77777777" w:rsidR="009B3906" w:rsidRDefault="009B3906" w:rsidP="00682DE9">
      <w:pPr>
        <w:spacing w:after="0" w:line="240" w:lineRule="auto"/>
      </w:pPr>
      <w:r>
        <w:separator/>
      </w:r>
    </w:p>
  </w:endnote>
  <w:endnote w:type="continuationSeparator" w:id="0">
    <w:p w14:paraId="0EDA7FC0" w14:textId="77777777" w:rsidR="009B3906" w:rsidRDefault="009B3906" w:rsidP="0068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759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DBEEF" w14:textId="666189A0" w:rsidR="00D61890" w:rsidRPr="00451B57" w:rsidRDefault="00D61890" w:rsidP="00B85BC9">
        <w:pPr>
          <w:pStyle w:val="Footer"/>
          <w:jc w:val="center"/>
        </w:pPr>
        <w:r w:rsidRPr="00451B57">
          <w:fldChar w:fldCharType="begin"/>
        </w:r>
        <w:r w:rsidRPr="00451B57">
          <w:instrText xml:space="preserve"> PAGE   \* MERGEFORMAT </w:instrText>
        </w:r>
        <w:r w:rsidRPr="00451B57">
          <w:fldChar w:fldCharType="separate"/>
        </w:r>
        <w:r w:rsidR="000E4BDF">
          <w:rPr>
            <w:noProof/>
          </w:rPr>
          <w:t>1</w:t>
        </w:r>
        <w:r w:rsidRPr="00451B5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48FE" w14:textId="77777777" w:rsidR="00D61890" w:rsidRPr="00BD1823" w:rsidRDefault="00D61890">
    <w:pPr>
      <w:pStyle w:val="Footer"/>
      <w:jc w:val="center"/>
    </w:pPr>
  </w:p>
  <w:p w14:paraId="15AA15B6" w14:textId="77777777" w:rsidR="00D61890" w:rsidRDefault="00D6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3DF2" w14:textId="77777777" w:rsidR="009B3906" w:rsidRDefault="009B3906" w:rsidP="00682DE9">
      <w:pPr>
        <w:spacing w:after="0" w:line="240" w:lineRule="auto"/>
      </w:pPr>
      <w:r>
        <w:separator/>
      </w:r>
    </w:p>
  </w:footnote>
  <w:footnote w:type="continuationSeparator" w:id="0">
    <w:p w14:paraId="4EBB7460" w14:textId="77777777" w:rsidR="009B3906" w:rsidRDefault="009B3906" w:rsidP="0068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A5CE" w14:textId="77777777" w:rsidR="00D61890" w:rsidRPr="00451B57" w:rsidRDefault="00D61890" w:rsidP="00B85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AE"/>
    <w:multiLevelType w:val="hybridMultilevel"/>
    <w:tmpl w:val="401E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DOwMAEiSzNTUyUdpeDU4uLM/DyQArNaAPmBHAosAAAA"/>
  </w:docVars>
  <w:rsids>
    <w:rsidRoot w:val="00965D62"/>
    <w:rsid w:val="00002837"/>
    <w:rsid w:val="00011ADF"/>
    <w:rsid w:val="00024A43"/>
    <w:rsid w:val="00027915"/>
    <w:rsid w:val="0003122F"/>
    <w:rsid w:val="000363B5"/>
    <w:rsid w:val="00046499"/>
    <w:rsid w:val="00055814"/>
    <w:rsid w:val="0005689D"/>
    <w:rsid w:val="00060E41"/>
    <w:rsid w:val="0006561A"/>
    <w:rsid w:val="000830D3"/>
    <w:rsid w:val="000935D0"/>
    <w:rsid w:val="00094CB5"/>
    <w:rsid w:val="00094FAE"/>
    <w:rsid w:val="000B6908"/>
    <w:rsid w:val="000B7118"/>
    <w:rsid w:val="000C5534"/>
    <w:rsid w:val="000D31F5"/>
    <w:rsid w:val="000E2A70"/>
    <w:rsid w:val="000E4BDF"/>
    <w:rsid w:val="000F05A4"/>
    <w:rsid w:val="000F7CAD"/>
    <w:rsid w:val="00100CFE"/>
    <w:rsid w:val="0011112C"/>
    <w:rsid w:val="00116D0A"/>
    <w:rsid w:val="001273FF"/>
    <w:rsid w:val="00134A1D"/>
    <w:rsid w:val="001406B3"/>
    <w:rsid w:val="00143E9A"/>
    <w:rsid w:val="00156DB7"/>
    <w:rsid w:val="0016357C"/>
    <w:rsid w:val="001765F2"/>
    <w:rsid w:val="0018631D"/>
    <w:rsid w:val="00187358"/>
    <w:rsid w:val="001931DC"/>
    <w:rsid w:val="001A1929"/>
    <w:rsid w:val="001A607E"/>
    <w:rsid w:val="001B195D"/>
    <w:rsid w:val="001E494E"/>
    <w:rsid w:val="001F2746"/>
    <w:rsid w:val="0020587E"/>
    <w:rsid w:val="00221E6A"/>
    <w:rsid w:val="00232F8E"/>
    <w:rsid w:val="00236A21"/>
    <w:rsid w:val="0025107E"/>
    <w:rsid w:val="002528F2"/>
    <w:rsid w:val="00261372"/>
    <w:rsid w:val="002B55E5"/>
    <w:rsid w:val="002C3339"/>
    <w:rsid w:val="002C6936"/>
    <w:rsid w:val="002D235A"/>
    <w:rsid w:val="00314B44"/>
    <w:rsid w:val="00323AED"/>
    <w:rsid w:val="00331A01"/>
    <w:rsid w:val="003732E5"/>
    <w:rsid w:val="0038271B"/>
    <w:rsid w:val="00384177"/>
    <w:rsid w:val="00387E7E"/>
    <w:rsid w:val="003968A9"/>
    <w:rsid w:val="00397E0D"/>
    <w:rsid w:val="003B1B45"/>
    <w:rsid w:val="003C1600"/>
    <w:rsid w:val="003C3396"/>
    <w:rsid w:val="003C388E"/>
    <w:rsid w:val="003F3818"/>
    <w:rsid w:val="003F3A41"/>
    <w:rsid w:val="00415187"/>
    <w:rsid w:val="00422DD4"/>
    <w:rsid w:val="00432C99"/>
    <w:rsid w:val="0043702D"/>
    <w:rsid w:val="004505D3"/>
    <w:rsid w:val="00456268"/>
    <w:rsid w:val="00460C1B"/>
    <w:rsid w:val="0047467C"/>
    <w:rsid w:val="00481F0B"/>
    <w:rsid w:val="00487031"/>
    <w:rsid w:val="004A4843"/>
    <w:rsid w:val="004B5E73"/>
    <w:rsid w:val="004B65C9"/>
    <w:rsid w:val="004D4564"/>
    <w:rsid w:val="004D62F7"/>
    <w:rsid w:val="004E1151"/>
    <w:rsid w:val="004E22B3"/>
    <w:rsid w:val="004E23F1"/>
    <w:rsid w:val="004F1473"/>
    <w:rsid w:val="004F61C9"/>
    <w:rsid w:val="005079AB"/>
    <w:rsid w:val="00512018"/>
    <w:rsid w:val="00515465"/>
    <w:rsid w:val="00515EFE"/>
    <w:rsid w:val="0053291B"/>
    <w:rsid w:val="00535602"/>
    <w:rsid w:val="00542FEC"/>
    <w:rsid w:val="005514E5"/>
    <w:rsid w:val="0055336E"/>
    <w:rsid w:val="00577871"/>
    <w:rsid w:val="00577C26"/>
    <w:rsid w:val="00580CE3"/>
    <w:rsid w:val="0058497A"/>
    <w:rsid w:val="00597B4B"/>
    <w:rsid w:val="005A39B6"/>
    <w:rsid w:val="005B4C3F"/>
    <w:rsid w:val="005B6D2E"/>
    <w:rsid w:val="005C3B41"/>
    <w:rsid w:val="005D1300"/>
    <w:rsid w:val="005E5158"/>
    <w:rsid w:val="005E7458"/>
    <w:rsid w:val="00610595"/>
    <w:rsid w:val="0061097A"/>
    <w:rsid w:val="00617053"/>
    <w:rsid w:val="00626AAC"/>
    <w:rsid w:val="00632742"/>
    <w:rsid w:val="006344FA"/>
    <w:rsid w:val="006440D3"/>
    <w:rsid w:val="00651706"/>
    <w:rsid w:val="006532A8"/>
    <w:rsid w:val="006732BD"/>
    <w:rsid w:val="0067533B"/>
    <w:rsid w:val="00682DE9"/>
    <w:rsid w:val="00684172"/>
    <w:rsid w:val="00687069"/>
    <w:rsid w:val="006904F6"/>
    <w:rsid w:val="0069674D"/>
    <w:rsid w:val="006B1A89"/>
    <w:rsid w:val="006C65E4"/>
    <w:rsid w:val="006C688D"/>
    <w:rsid w:val="006C7194"/>
    <w:rsid w:val="006D3179"/>
    <w:rsid w:val="006D5481"/>
    <w:rsid w:val="006D5867"/>
    <w:rsid w:val="006E122F"/>
    <w:rsid w:val="00700977"/>
    <w:rsid w:val="00700DC3"/>
    <w:rsid w:val="0070378C"/>
    <w:rsid w:val="007045F6"/>
    <w:rsid w:val="00710AD2"/>
    <w:rsid w:val="0071332F"/>
    <w:rsid w:val="00720A38"/>
    <w:rsid w:val="007210FC"/>
    <w:rsid w:val="007321AD"/>
    <w:rsid w:val="007378F0"/>
    <w:rsid w:val="00741D99"/>
    <w:rsid w:val="00747AFE"/>
    <w:rsid w:val="0075077F"/>
    <w:rsid w:val="00762C34"/>
    <w:rsid w:val="00770642"/>
    <w:rsid w:val="00774CDD"/>
    <w:rsid w:val="00780ACE"/>
    <w:rsid w:val="00794D3C"/>
    <w:rsid w:val="007974D2"/>
    <w:rsid w:val="007A081C"/>
    <w:rsid w:val="007A6E31"/>
    <w:rsid w:val="007B5485"/>
    <w:rsid w:val="0082064A"/>
    <w:rsid w:val="0082234C"/>
    <w:rsid w:val="0082259C"/>
    <w:rsid w:val="00832F4F"/>
    <w:rsid w:val="008333CD"/>
    <w:rsid w:val="00837D60"/>
    <w:rsid w:val="00846901"/>
    <w:rsid w:val="00851A80"/>
    <w:rsid w:val="008567A4"/>
    <w:rsid w:val="00883CBE"/>
    <w:rsid w:val="008921EE"/>
    <w:rsid w:val="008D29F6"/>
    <w:rsid w:val="008D3E9C"/>
    <w:rsid w:val="008E286B"/>
    <w:rsid w:val="008E4CD4"/>
    <w:rsid w:val="008E6942"/>
    <w:rsid w:val="008F76E4"/>
    <w:rsid w:val="009048CC"/>
    <w:rsid w:val="00910BD4"/>
    <w:rsid w:val="0091587A"/>
    <w:rsid w:val="00924A8A"/>
    <w:rsid w:val="009265B5"/>
    <w:rsid w:val="009369DC"/>
    <w:rsid w:val="009376B1"/>
    <w:rsid w:val="00946CE1"/>
    <w:rsid w:val="009471AA"/>
    <w:rsid w:val="00965D62"/>
    <w:rsid w:val="00966F54"/>
    <w:rsid w:val="009766F6"/>
    <w:rsid w:val="00985951"/>
    <w:rsid w:val="009A1811"/>
    <w:rsid w:val="009A4EC5"/>
    <w:rsid w:val="009B0FBF"/>
    <w:rsid w:val="009B3906"/>
    <w:rsid w:val="009C796D"/>
    <w:rsid w:val="009D7542"/>
    <w:rsid w:val="009F529A"/>
    <w:rsid w:val="00A01671"/>
    <w:rsid w:val="00A042B3"/>
    <w:rsid w:val="00A04398"/>
    <w:rsid w:val="00A05442"/>
    <w:rsid w:val="00A128D5"/>
    <w:rsid w:val="00A207DC"/>
    <w:rsid w:val="00A24A7C"/>
    <w:rsid w:val="00A3147F"/>
    <w:rsid w:val="00A371A6"/>
    <w:rsid w:val="00A46084"/>
    <w:rsid w:val="00A535C0"/>
    <w:rsid w:val="00A552F4"/>
    <w:rsid w:val="00A60573"/>
    <w:rsid w:val="00A6087E"/>
    <w:rsid w:val="00A6725E"/>
    <w:rsid w:val="00A77F95"/>
    <w:rsid w:val="00A814B1"/>
    <w:rsid w:val="00A840DC"/>
    <w:rsid w:val="00A866A7"/>
    <w:rsid w:val="00AB1243"/>
    <w:rsid w:val="00AB14DC"/>
    <w:rsid w:val="00AC13CE"/>
    <w:rsid w:val="00AC6AF6"/>
    <w:rsid w:val="00AC7013"/>
    <w:rsid w:val="00AD0E91"/>
    <w:rsid w:val="00AD19FF"/>
    <w:rsid w:val="00AD60C1"/>
    <w:rsid w:val="00AE1457"/>
    <w:rsid w:val="00AE31D0"/>
    <w:rsid w:val="00AE66DC"/>
    <w:rsid w:val="00B000D3"/>
    <w:rsid w:val="00B024E9"/>
    <w:rsid w:val="00B123CF"/>
    <w:rsid w:val="00B16A71"/>
    <w:rsid w:val="00B17B88"/>
    <w:rsid w:val="00B204EA"/>
    <w:rsid w:val="00B23993"/>
    <w:rsid w:val="00B30F64"/>
    <w:rsid w:val="00B31A5F"/>
    <w:rsid w:val="00B34101"/>
    <w:rsid w:val="00B43E57"/>
    <w:rsid w:val="00B54D2F"/>
    <w:rsid w:val="00B54D87"/>
    <w:rsid w:val="00B66AA5"/>
    <w:rsid w:val="00B71D88"/>
    <w:rsid w:val="00B815B6"/>
    <w:rsid w:val="00B85B2A"/>
    <w:rsid w:val="00B85BC9"/>
    <w:rsid w:val="00B86B73"/>
    <w:rsid w:val="00B95FCE"/>
    <w:rsid w:val="00BA6A6A"/>
    <w:rsid w:val="00BB2E3C"/>
    <w:rsid w:val="00BC1142"/>
    <w:rsid w:val="00BC6B0E"/>
    <w:rsid w:val="00BE27B7"/>
    <w:rsid w:val="00BE7D91"/>
    <w:rsid w:val="00BF015D"/>
    <w:rsid w:val="00C07B90"/>
    <w:rsid w:val="00C109F3"/>
    <w:rsid w:val="00C16285"/>
    <w:rsid w:val="00C24E5D"/>
    <w:rsid w:val="00C25DA2"/>
    <w:rsid w:val="00C303D0"/>
    <w:rsid w:val="00C36AA4"/>
    <w:rsid w:val="00C41503"/>
    <w:rsid w:val="00C420E4"/>
    <w:rsid w:val="00C44031"/>
    <w:rsid w:val="00C620F8"/>
    <w:rsid w:val="00C63C40"/>
    <w:rsid w:val="00C715FF"/>
    <w:rsid w:val="00C90FE8"/>
    <w:rsid w:val="00C91814"/>
    <w:rsid w:val="00C91A37"/>
    <w:rsid w:val="00C95509"/>
    <w:rsid w:val="00CA4A64"/>
    <w:rsid w:val="00CA4BA1"/>
    <w:rsid w:val="00CA6FD9"/>
    <w:rsid w:val="00CA7924"/>
    <w:rsid w:val="00CB2CC1"/>
    <w:rsid w:val="00CD3578"/>
    <w:rsid w:val="00CD5066"/>
    <w:rsid w:val="00CD6951"/>
    <w:rsid w:val="00CE2C86"/>
    <w:rsid w:val="00D02647"/>
    <w:rsid w:val="00D02943"/>
    <w:rsid w:val="00D02D1D"/>
    <w:rsid w:val="00D0605E"/>
    <w:rsid w:val="00D3549A"/>
    <w:rsid w:val="00D4261A"/>
    <w:rsid w:val="00D54C08"/>
    <w:rsid w:val="00D55B65"/>
    <w:rsid w:val="00D60C04"/>
    <w:rsid w:val="00D61890"/>
    <w:rsid w:val="00D761FB"/>
    <w:rsid w:val="00D86FA4"/>
    <w:rsid w:val="00D907F0"/>
    <w:rsid w:val="00DB3A91"/>
    <w:rsid w:val="00DC4669"/>
    <w:rsid w:val="00DD161D"/>
    <w:rsid w:val="00DD188B"/>
    <w:rsid w:val="00DE70F4"/>
    <w:rsid w:val="00E05965"/>
    <w:rsid w:val="00E2357B"/>
    <w:rsid w:val="00E25A9B"/>
    <w:rsid w:val="00E263B8"/>
    <w:rsid w:val="00E31AC0"/>
    <w:rsid w:val="00E36F8C"/>
    <w:rsid w:val="00E54B8C"/>
    <w:rsid w:val="00E5603B"/>
    <w:rsid w:val="00E67124"/>
    <w:rsid w:val="00E733BE"/>
    <w:rsid w:val="00E8766B"/>
    <w:rsid w:val="00E93D37"/>
    <w:rsid w:val="00EA0DF7"/>
    <w:rsid w:val="00EA73DD"/>
    <w:rsid w:val="00EB69B3"/>
    <w:rsid w:val="00EC5279"/>
    <w:rsid w:val="00F00C48"/>
    <w:rsid w:val="00F01831"/>
    <w:rsid w:val="00F0195A"/>
    <w:rsid w:val="00F05033"/>
    <w:rsid w:val="00F31D3B"/>
    <w:rsid w:val="00F3558E"/>
    <w:rsid w:val="00F44980"/>
    <w:rsid w:val="00F513CE"/>
    <w:rsid w:val="00F514BF"/>
    <w:rsid w:val="00F5238E"/>
    <w:rsid w:val="00F55AA9"/>
    <w:rsid w:val="00F7035C"/>
    <w:rsid w:val="00F72F7A"/>
    <w:rsid w:val="00FA4865"/>
    <w:rsid w:val="00FB043D"/>
    <w:rsid w:val="00FB05A5"/>
    <w:rsid w:val="00FB094B"/>
    <w:rsid w:val="00FB1731"/>
    <w:rsid w:val="00FB1AA8"/>
    <w:rsid w:val="00FB41C9"/>
    <w:rsid w:val="00FC7C19"/>
    <w:rsid w:val="00FD6CC6"/>
    <w:rsid w:val="00FF05CD"/>
    <w:rsid w:val="00FF188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0FD"/>
  <w15:chartTrackingRefBased/>
  <w15:docId w15:val="{94400D68-4CCC-4744-99C8-9854A14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158"/>
    <w:pPr>
      <w:spacing w:after="0" w:line="480" w:lineRule="auto"/>
      <w:outlineLvl w:val="0"/>
    </w:pPr>
    <w:rPr>
      <w:rFonts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158"/>
    <w:pPr>
      <w:spacing w:after="0" w:line="480" w:lineRule="auto"/>
      <w:jc w:val="both"/>
      <w:outlineLvl w:val="1"/>
    </w:pPr>
    <w:rPr>
      <w:rFonts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65D62"/>
  </w:style>
  <w:style w:type="paragraph" w:styleId="ListParagraph">
    <w:name w:val="List Paragraph"/>
    <w:basedOn w:val="Normal"/>
    <w:link w:val="ListParagraphChar"/>
    <w:uiPriority w:val="34"/>
    <w:qFormat/>
    <w:rsid w:val="00965D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E7E"/>
  </w:style>
  <w:style w:type="character" w:styleId="Hyperlink">
    <w:name w:val="Hyperlink"/>
    <w:basedOn w:val="DefaultParagraphFont"/>
    <w:uiPriority w:val="99"/>
    <w:unhideWhenUsed/>
    <w:rsid w:val="00965D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82DE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D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C1"/>
  </w:style>
  <w:style w:type="paragraph" w:styleId="Footer">
    <w:name w:val="footer"/>
    <w:basedOn w:val="Normal"/>
    <w:link w:val="FooterChar"/>
    <w:uiPriority w:val="99"/>
    <w:unhideWhenUsed/>
    <w:rsid w:val="00AD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C1"/>
  </w:style>
  <w:style w:type="character" w:styleId="PlaceholderText">
    <w:name w:val="Placeholder Text"/>
    <w:basedOn w:val="DefaultParagraphFont"/>
    <w:uiPriority w:val="99"/>
    <w:semiHidden/>
    <w:rsid w:val="006D31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D2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5158"/>
    <w:rPr>
      <w:rFonts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5158"/>
    <w:rPr>
      <w:rFonts w:cs="Times New Roman"/>
      <w:b/>
      <w:sz w:val="32"/>
      <w:szCs w:val="32"/>
    </w:rPr>
  </w:style>
  <w:style w:type="paragraph" w:styleId="NoSpacing">
    <w:name w:val="No Spacing"/>
    <w:uiPriority w:val="1"/>
    <w:qFormat/>
    <w:rsid w:val="00331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E307-C9BD-47C8-A6AA-D9DD3458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Joglekar</dc:creator>
  <cp:keywords/>
  <dc:description/>
  <cp:lastModifiedBy>Ali Joglekar</cp:lastModifiedBy>
  <cp:revision>8</cp:revision>
  <cp:lastPrinted>2017-12-28T19:04:00Z</cp:lastPrinted>
  <dcterms:created xsi:type="dcterms:W3CDTF">2018-12-08T20:38:00Z</dcterms:created>
  <dcterms:modified xsi:type="dcterms:W3CDTF">2019-02-04T18:05:00Z</dcterms:modified>
</cp:coreProperties>
</file>