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ADD8" w14:textId="1AA472CE" w:rsidR="004259FE" w:rsidRDefault="004259FE" w:rsidP="004259FE">
      <w:pPr>
        <w:pStyle w:val="2"/>
      </w:pPr>
    </w:p>
    <w:p w14:paraId="1FEA0519" w14:textId="77777777" w:rsidR="004259FE" w:rsidRPr="00687527" w:rsidRDefault="004259FE" w:rsidP="004259FE"/>
    <w:tbl>
      <w:tblPr>
        <w:tblW w:w="4825" w:type="pct"/>
        <w:tblLook w:val="04A0" w:firstRow="1" w:lastRow="0" w:firstColumn="1" w:lastColumn="0" w:noHBand="0" w:noVBand="1"/>
      </w:tblPr>
      <w:tblGrid>
        <w:gridCol w:w="1964"/>
        <w:gridCol w:w="1858"/>
        <w:gridCol w:w="1858"/>
        <w:gridCol w:w="1858"/>
        <w:gridCol w:w="1857"/>
      </w:tblGrid>
      <w:tr w:rsidR="00952C4D" w:rsidRPr="00B32331" w14:paraId="63E9190B" w14:textId="30B1DF8D" w:rsidTr="00952C4D">
        <w:trPr>
          <w:cantSplit/>
          <w:trHeight w:val="342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D24A73" w14:textId="1670FF5D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 xml:space="preserve">Fatty acids </w:t>
            </w:r>
            <w:r w:rsidR="00E11860">
              <w:rPr>
                <w:rFonts w:ascii="Arial" w:hAnsi="Arial" w:cs="Arial"/>
                <w:sz w:val="24"/>
                <w:szCs w:val="24"/>
                <w:lang w:eastAsia="ja-JP"/>
              </w:rPr>
              <w:t>(%)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CB393E" w14:textId="54F4B8CC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5FD7DD" w14:textId="2E43CFEE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04A71" w14:textId="7FA96173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>TS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A009C" w14:textId="16EF24F0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>TF</w:t>
            </w:r>
          </w:p>
        </w:tc>
      </w:tr>
      <w:tr w:rsidR="00952C4D" w:rsidRPr="00B32331" w14:paraId="7F349B73" w14:textId="70563916" w:rsidTr="00952C4D">
        <w:trPr>
          <w:cantSplit/>
          <w:trHeight w:val="3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9A16" w14:textId="5B48C9A4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C14:0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5B3F" w14:textId="439A87D0" w:rsidR="00B41BD2" w:rsidRPr="00B32331" w:rsidRDefault="00B41BD2" w:rsidP="00B41BD2">
            <w:pPr>
              <w:wordWrap w:val="0"/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0.782 ± 0.131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4D6F" w14:textId="4B5AF23A" w:rsidR="00B41BD2" w:rsidRPr="00B32331" w:rsidRDefault="00B41BD2" w:rsidP="00B41BD2">
            <w:pPr>
              <w:wordWrap w:val="0"/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0.679 ± 0.111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36BE" w14:textId="7D3449B7" w:rsidR="00B41BD2" w:rsidRPr="00B41BD2" w:rsidRDefault="00B41BD2" w:rsidP="00B41BD2">
            <w:pPr>
              <w:wordWrap w:val="0"/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0.512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0.110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7B8" w14:textId="5BF196D6" w:rsidR="00B41BD2" w:rsidRPr="00B41BD2" w:rsidRDefault="00B41BD2" w:rsidP="00B41BD2">
            <w:pPr>
              <w:wordWrap w:val="0"/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0.571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0.117</w:t>
            </w:r>
          </w:p>
        </w:tc>
      </w:tr>
      <w:tr w:rsidR="00952C4D" w:rsidRPr="00B32331" w14:paraId="0830D106" w14:textId="3A3E58E2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7BFF" w14:textId="126C8BAC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C16:0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20B0" w14:textId="4CB567A8" w:rsidR="00B41BD2" w:rsidRPr="00B32331" w:rsidRDefault="00B41BD2" w:rsidP="00B41BD2">
            <w:pPr>
              <w:wordWrap w:val="0"/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 ± 1.4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CBD6" w14:textId="3215277D" w:rsidR="00B41BD2" w:rsidRPr="00B32331" w:rsidRDefault="00B41BD2" w:rsidP="00B41BD2">
            <w:pPr>
              <w:wordWrap w:val="0"/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 ± 3.9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57E38" w14:textId="7F478B58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23.4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1.9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42E" w14:textId="52D8B876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22.0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2.0</w:t>
            </w:r>
          </w:p>
        </w:tc>
      </w:tr>
      <w:tr w:rsidR="00952C4D" w:rsidRPr="00B32331" w14:paraId="0AE15FF4" w14:textId="527B3687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8575" w14:textId="4B2DCA17" w:rsidR="00B41BD2" w:rsidRPr="00B32331" w:rsidRDefault="00B41BD2" w:rsidP="003F15D6">
            <w:pPr>
              <w:spacing w:beforeLines="50" w:before="120" w:line="276" w:lineRule="auto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C16:1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-7)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B088" w14:textId="47D62F90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2.76 ± 0.50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19A3" w14:textId="67F19AFF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2.54 ± 0.56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4878" w14:textId="28DB555C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>0.93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4 ± 0.258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D43" w14:textId="5E6CDE29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1.57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0.24</w:t>
            </w:r>
          </w:p>
        </w:tc>
      </w:tr>
      <w:tr w:rsidR="00952C4D" w:rsidRPr="00B32331" w14:paraId="47548566" w14:textId="61EEC379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D009" w14:textId="7CF9C709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C18:0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26B" w14:textId="46C43920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2.34 ± 0.21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EE51" w14:textId="7C00B6E6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 ± 0.17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157E" w14:textId="58F320A7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2.11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0.14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486" w14:textId="0085D693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2.51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0.46</w:t>
            </w:r>
          </w:p>
        </w:tc>
      </w:tr>
      <w:tr w:rsidR="00952C4D" w:rsidRPr="00B32331" w14:paraId="7813DA50" w14:textId="365ECACF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6A15" w14:textId="35779EF1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C18:1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-9)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6D00" w14:textId="1A106FFE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 ± 1.7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5C84" w14:textId="3A961160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23.2 ± 2.5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D129B" w14:textId="2A296D28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19.1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1.0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E87" w14:textId="77CF8A78" w:rsidR="00B41BD2" w:rsidRPr="00B41BD2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17.4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0.8</w:t>
            </w:r>
          </w:p>
        </w:tc>
      </w:tr>
      <w:tr w:rsidR="00952C4D" w:rsidRPr="00B32331" w14:paraId="65E6916A" w14:textId="5BE0EE3F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2F44" w14:textId="6929E4A6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C18:2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BD22" w14:textId="70D51A0A" w:rsidR="00B41BD2" w:rsidRPr="00B32331" w:rsidRDefault="00B41BD2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31.8 ± 2.0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B1D3" w14:textId="7A5E1BB1" w:rsidR="00B41BD2" w:rsidRPr="00B32331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 ± 1.8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4AB3A" w14:textId="7A37E51A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42.0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3.2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4CE" w14:textId="72DE763E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30.3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1.6</w:t>
            </w:r>
          </w:p>
        </w:tc>
      </w:tr>
      <w:tr w:rsidR="00952C4D" w:rsidRPr="00B32331" w14:paraId="590DAEAD" w14:textId="0990CE96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7E53" w14:textId="31D396FA" w:rsidR="00B41BD2" w:rsidRPr="00B32331" w:rsidRDefault="00B41BD2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C18:3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="00E11860">
              <w:rPr>
                <w:rFonts w:ascii="Arial" w:hAnsi="Arial" w:cs="Arial"/>
                <w:sz w:val="24"/>
                <w:szCs w:val="24"/>
                <w:lang w:eastAsia="ja-JP"/>
              </w:rPr>
              <w:t>-6)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CA23" w14:textId="2CAE68C2" w:rsidR="00B41BD2" w:rsidRPr="00B32331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0.328 ± 0.058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8B1C" w14:textId="7AD85AA6" w:rsidR="00B41BD2" w:rsidRPr="00B32331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0.160 ± 0.022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D3D6B" w14:textId="5D97D7FD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0.251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0.038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B9D" w14:textId="5A365B92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0.137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0.020</w:t>
            </w:r>
          </w:p>
        </w:tc>
      </w:tr>
      <w:tr w:rsidR="00952C4D" w:rsidRPr="00B32331" w14:paraId="0157ED8D" w14:textId="4D944593" w:rsidTr="00952C4D">
        <w:trPr>
          <w:cantSplit/>
          <w:trHeight w:val="300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0646" w14:textId="3362989C" w:rsidR="00B41BD2" w:rsidRPr="00B32331" w:rsidRDefault="00F86679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C18:3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-3)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D537" w14:textId="5CA011DA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1.48 ± 0.16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84BC" w14:textId="74FEAFCE" w:rsidR="00B41BD2" w:rsidRPr="00B32331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 ± 0.23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EF79" w14:textId="4F8BB71A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2.85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0.56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371" w14:textId="23915BDE" w:rsidR="00B41BD2" w:rsidRPr="00E11860" w:rsidRDefault="00E11860" w:rsidP="00B41BD2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2.45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0.25</w:t>
            </w:r>
          </w:p>
        </w:tc>
      </w:tr>
      <w:tr w:rsidR="00952C4D" w:rsidRPr="00B32331" w14:paraId="0A3A5678" w14:textId="7FB1041F" w:rsidTr="00952C4D">
        <w:trPr>
          <w:cantSplit/>
          <w:trHeight w:val="99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1570" w14:textId="623940C0" w:rsidR="00F86679" w:rsidRPr="00B32331" w:rsidRDefault="00F86679" w:rsidP="00F86679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20:3</w:t>
            </w:r>
            <w:r w:rsidRPr="00B3233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452C" w14:textId="2FC45077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0.188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0.048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A0DE" w14:textId="25243E10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0.295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0.054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6E3CD" w14:textId="20E91547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0.376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0.049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3CE" w14:textId="12F218F5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0.082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0.008</w:t>
            </w:r>
          </w:p>
        </w:tc>
      </w:tr>
      <w:tr w:rsidR="00952C4D" w:rsidRPr="00B32331" w14:paraId="0D7C9395" w14:textId="7E826A20" w:rsidTr="00952C4D">
        <w:trPr>
          <w:cantSplit/>
          <w:trHeight w:val="3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7822" w14:textId="4F2B5AAF" w:rsidR="00F86679" w:rsidRPr="00B32331" w:rsidRDefault="00F86679" w:rsidP="00F86679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C20: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4</w:t>
            </w: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 xml:space="preserve">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6</w:t>
            </w: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DA8FD" w14:textId="080B7F48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0.801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0.280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CD66" w14:textId="123DA587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0.788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0.099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80E" w14:textId="1D82152E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0.984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0.125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B16" w14:textId="00433E01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0.755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0.068</w:t>
            </w:r>
          </w:p>
        </w:tc>
      </w:tr>
      <w:tr w:rsidR="00952C4D" w:rsidRPr="00B32331" w14:paraId="5ABAE9C1" w14:textId="496958CC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6401F" w14:textId="16401DD0" w:rsidR="00F86679" w:rsidRPr="00B32331" w:rsidRDefault="00F86679" w:rsidP="00F86679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3233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233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23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C65E" w14:textId="40DE45C5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>0.0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88 ± 0.028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ED93" w14:textId="0158C79D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1.90 ± 0.72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A5F6" w14:textId="3923873C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>0.2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0.206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30C" w14:textId="7F5EBED7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1.85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0.51</w:t>
            </w:r>
          </w:p>
        </w:tc>
      </w:tr>
      <w:tr w:rsidR="00952C4D" w:rsidRPr="00B32331" w14:paraId="23E53564" w14:textId="7D64B47F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0F52" w14:textId="6D11C23A" w:rsidR="00F86679" w:rsidRPr="00B32331" w:rsidRDefault="00F86679" w:rsidP="00F86679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C22:5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F70DD" w14:textId="539E422F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0.362 ± 0.375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B158" w14:textId="51A50AD0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0.424 ± 0.221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ED11" w14:textId="3BFC270F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0.792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1.332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6FB" w14:textId="79A0B296" w:rsidR="00F86679" w:rsidRPr="00E11860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0.708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0.269</w:t>
            </w:r>
          </w:p>
        </w:tc>
      </w:tr>
      <w:tr w:rsidR="00952C4D" w:rsidRPr="00B32331" w14:paraId="2B929CED" w14:textId="517A44FD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EA91" w14:textId="23F775CE" w:rsidR="00F86679" w:rsidRPr="00B32331" w:rsidRDefault="00F86679" w:rsidP="00F86679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C22:5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-3)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DBF5A" w14:textId="48E627ED" w:rsidR="00F86679" w:rsidRPr="00F86679" w:rsidRDefault="00F86679" w:rsidP="00F86679">
            <w:pPr>
              <w:spacing w:beforeLines="50" w:before="120" w:line="276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0.215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0.093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B125" w14:textId="7CD1BE99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2.44 ± 0.6</w:t>
            </w: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A371B" w14:textId="2581B5BF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0.773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0.536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487" w14:textId="5A36F268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3.10 ± 0.84</w:t>
            </w:r>
          </w:p>
        </w:tc>
      </w:tr>
      <w:tr w:rsidR="00952C4D" w:rsidRPr="00B32331" w14:paraId="6F64EC62" w14:textId="7E4437FB" w:rsidTr="00952C4D">
        <w:trPr>
          <w:cantSplit/>
          <w:trHeight w:val="306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705F" w14:textId="30D395B8" w:rsidR="00F86679" w:rsidRPr="00B32331" w:rsidRDefault="00F86679" w:rsidP="00F86679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C22:6 (</w:t>
            </w:r>
            <w:r w:rsidR="0074209F" w:rsidRPr="0074209F">
              <w:rPr>
                <w:rFonts w:ascii="Arial" w:hAnsi="Arial" w:cs="Arial"/>
                <w:i/>
                <w:sz w:val="24"/>
                <w:szCs w:val="24"/>
              </w:rPr>
              <w:t>ω</w:t>
            </w:r>
            <w:r w:rsidRPr="00B32331">
              <w:rPr>
                <w:rFonts w:ascii="Arial" w:hAnsi="Arial" w:cs="Arial"/>
                <w:sz w:val="24"/>
                <w:szCs w:val="24"/>
              </w:rPr>
              <w:t>-3)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CDFF" w14:textId="1423D351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0.354 ± 0.138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6F2D" w14:textId="682FF9AE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11.0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3.9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9AC5" w14:textId="71565314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1.48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1.21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954" w14:textId="1C518D86" w:rsidR="00F86679" w:rsidRPr="00F86679" w:rsidRDefault="00F86679" w:rsidP="00F86679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13.7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± 2.3</w:t>
            </w:r>
          </w:p>
        </w:tc>
      </w:tr>
    </w:tbl>
    <w:p w14:paraId="2540F81E" w14:textId="77777777" w:rsidR="004259FE" w:rsidRPr="00470E46" w:rsidRDefault="004259FE" w:rsidP="004259FE">
      <w:pPr>
        <w:spacing w:line="360" w:lineRule="auto"/>
        <w:rPr>
          <w:sz w:val="24"/>
          <w:szCs w:val="24"/>
        </w:rPr>
      </w:pPr>
    </w:p>
    <w:p w14:paraId="487B4BB9" w14:textId="7A1B0AFC" w:rsidR="004259FE" w:rsidRDefault="00A50415" w:rsidP="004259FE">
      <w:pPr>
        <w:spacing w:line="360" w:lineRule="auto"/>
        <w:rPr>
          <w:sz w:val="24"/>
          <w:szCs w:val="24"/>
        </w:rPr>
      </w:pPr>
      <w:bookmarkStart w:id="0" w:name="_Hlk498004930"/>
      <w:bookmarkStart w:id="1" w:name="_Hlk499034456"/>
      <w:r w:rsidRPr="00A50415">
        <w:rPr>
          <w:b/>
          <w:sz w:val="24"/>
          <w:szCs w:val="24"/>
        </w:rPr>
        <w:t>S5 Table. Fatty acid composition</w:t>
      </w:r>
      <w:r w:rsidR="00FA1444">
        <w:rPr>
          <w:rFonts w:hint="eastAsia"/>
          <w:b/>
          <w:sz w:val="24"/>
          <w:szCs w:val="24"/>
          <w:lang w:eastAsia="ja-JP"/>
        </w:rPr>
        <w:t>s</w:t>
      </w:r>
      <w:r w:rsidRPr="00A50415">
        <w:rPr>
          <w:b/>
          <w:sz w:val="24"/>
          <w:szCs w:val="24"/>
        </w:rPr>
        <w:t xml:space="preserve"> of hepatic TG in rats. </w:t>
      </w:r>
      <w:r w:rsidR="004259FE" w:rsidRPr="007805CF">
        <w:rPr>
          <w:b/>
          <w:sz w:val="24"/>
          <w:szCs w:val="24"/>
        </w:rPr>
        <w:t xml:space="preserve"> </w:t>
      </w:r>
      <w:bookmarkEnd w:id="0"/>
      <w:bookmarkEnd w:id="1"/>
    </w:p>
    <w:p w14:paraId="2EFF7461" w14:textId="46E1B3ED" w:rsidR="00D03520" w:rsidRDefault="00A50415">
      <w:r w:rsidRPr="00A50415">
        <w:rPr>
          <w:lang w:eastAsia="ja-JP"/>
        </w:rPr>
        <w:t xml:space="preserve">CS, casein and soy oil diet; CF, casein and fish oil diet; TS, tofu and soy oil diet; TF, tofu and fish oil diet. Data are shown as means ± SD, n = 7-8 per group. </w:t>
      </w:r>
      <w:bookmarkStart w:id="2" w:name="_GoBack"/>
      <w:bookmarkEnd w:id="2"/>
    </w:p>
    <w:sectPr w:rsidR="00D03520" w:rsidSect="00952C4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CCDA" w14:textId="77777777" w:rsidR="001C6A21" w:rsidRDefault="001C6A21" w:rsidP="004259FE">
      <w:r>
        <w:separator/>
      </w:r>
    </w:p>
  </w:endnote>
  <w:endnote w:type="continuationSeparator" w:id="0">
    <w:p w14:paraId="2929BFED" w14:textId="77777777" w:rsidR="001C6A21" w:rsidRDefault="001C6A21" w:rsidP="0042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1689" w14:textId="77777777" w:rsidR="001C6A21" w:rsidRDefault="001C6A21" w:rsidP="004259FE">
      <w:r>
        <w:separator/>
      </w:r>
    </w:p>
  </w:footnote>
  <w:footnote w:type="continuationSeparator" w:id="0">
    <w:p w14:paraId="4CA9A8EE" w14:textId="77777777" w:rsidR="001C6A21" w:rsidRDefault="001C6A21" w:rsidP="0042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E8"/>
    <w:rsid w:val="000B3851"/>
    <w:rsid w:val="00111A2E"/>
    <w:rsid w:val="001C6A21"/>
    <w:rsid w:val="00200EE8"/>
    <w:rsid w:val="00211A7E"/>
    <w:rsid w:val="002B5FF8"/>
    <w:rsid w:val="003341DE"/>
    <w:rsid w:val="003B7B2F"/>
    <w:rsid w:val="003F15D6"/>
    <w:rsid w:val="00420562"/>
    <w:rsid w:val="00420D88"/>
    <w:rsid w:val="004259FE"/>
    <w:rsid w:val="004723C8"/>
    <w:rsid w:val="00487BE1"/>
    <w:rsid w:val="005245EF"/>
    <w:rsid w:val="00591DA1"/>
    <w:rsid w:val="00627CE1"/>
    <w:rsid w:val="006E25F8"/>
    <w:rsid w:val="0074209F"/>
    <w:rsid w:val="0093060E"/>
    <w:rsid w:val="00952C4D"/>
    <w:rsid w:val="00A50415"/>
    <w:rsid w:val="00B32331"/>
    <w:rsid w:val="00B41BD2"/>
    <w:rsid w:val="00BE5D5B"/>
    <w:rsid w:val="00BF586A"/>
    <w:rsid w:val="00C73E5A"/>
    <w:rsid w:val="00D03520"/>
    <w:rsid w:val="00D259FB"/>
    <w:rsid w:val="00E11860"/>
    <w:rsid w:val="00F638CD"/>
    <w:rsid w:val="00F67A50"/>
    <w:rsid w:val="00F86679"/>
    <w:rsid w:val="00FA1444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AFAB"/>
  <w15:docId w15:val="{1275979D-4294-FF43-A315-4949849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9FE"/>
    <w:pPr>
      <w:spacing w:after="0" w:line="240" w:lineRule="auto"/>
    </w:pPr>
    <w:rPr>
      <w:rFonts w:asci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59FE"/>
    <w:pPr>
      <w:spacing w:line="48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FE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4259FE"/>
  </w:style>
  <w:style w:type="paragraph" w:styleId="a5">
    <w:name w:val="footer"/>
    <w:basedOn w:val="a"/>
    <w:link w:val="a6"/>
    <w:uiPriority w:val="99"/>
    <w:unhideWhenUsed/>
    <w:rsid w:val="004259FE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4259FE"/>
  </w:style>
  <w:style w:type="character" w:customStyle="1" w:styleId="20">
    <w:name w:val="見出し 2 (文字)"/>
    <w:basedOn w:val="a0"/>
    <w:link w:val="2"/>
    <w:uiPriority w:val="9"/>
    <w:rsid w:val="004259FE"/>
    <w:rPr>
      <w:rFonts w:ascii="Times New Roman"/>
      <w:b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56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小西智一</dc:creator>
  <cp:lastModifiedBy>Yoko Takahashi</cp:lastModifiedBy>
  <cp:revision>3</cp:revision>
  <dcterms:created xsi:type="dcterms:W3CDTF">2018-07-10T14:27:00Z</dcterms:created>
  <dcterms:modified xsi:type="dcterms:W3CDTF">2018-07-10T14:58:00Z</dcterms:modified>
</cp:coreProperties>
</file>