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60" w:rsidRPr="00D13780" w:rsidRDefault="00D13780" w:rsidP="00D13780">
      <w:pPr>
        <w:rPr>
          <w:b/>
          <w:lang w:val="en-GB"/>
        </w:rPr>
      </w:pPr>
      <w:r w:rsidRPr="00D13780">
        <w:rPr>
          <w:b/>
          <w:lang w:val="en-GB"/>
        </w:rPr>
        <w:t>S3 Table</w:t>
      </w:r>
      <w:r w:rsidR="00506760" w:rsidRPr="00D13780">
        <w:rPr>
          <w:b/>
          <w:lang w:val="en-GB"/>
        </w:rPr>
        <w:t xml:space="preserve">. </w:t>
      </w:r>
      <w:bookmarkStart w:id="0" w:name="_GoBack"/>
      <w:r w:rsidR="000B3E67" w:rsidRPr="00B662E4">
        <w:rPr>
          <w:lang w:val="en-GB"/>
        </w:rPr>
        <w:t>Comparison of m</w:t>
      </w:r>
      <w:r w:rsidR="00506760" w:rsidRPr="00B662E4">
        <w:rPr>
          <w:lang w:val="en-GB"/>
        </w:rPr>
        <w:t>utation</w:t>
      </w:r>
      <w:r w:rsidR="002D2DB5" w:rsidRPr="00B662E4">
        <w:rPr>
          <w:lang w:val="en-GB"/>
        </w:rPr>
        <w:t xml:space="preserve"> percentages </w:t>
      </w:r>
      <w:r w:rsidR="00E349C4" w:rsidRPr="00B662E4">
        <w:rPr>
          <w:lang w:val="en-GB"/>
        </w:rPr>
        <w:t>within</w:t>
      </w:r>
      <w:r w:rsidR="000B3E67" w:rsidRPr="00B662E4">
        <w:rPr>
          <w:lang w:val="en-GB"/>
        </w:rPr>
        <w:t xml:space="preserve"> the same </w:t>
      </w:r>
      <w:r w:rsidR="00E349C4" w:rsidRPr="00B662E4">
        <w:rPr>
          <w:lang w:val="en-GB"/>
        </w:rPr>
        <w:t xml:space="preserve">envelope </w:t>
      </w:r>
      <w:r w:rsidR="000B3E67" w:rsidRPr="00B662E4">
        <w:rPr>
          <w:lang w:val="en-GB"/>
        </w:rPr>
        <w:t>regions</w:t>
      </w:r>
      <w:r w:rsidR="00967787" w:rsidRPr="00B662E4">
        <w:rPr>
          <w:lang w:val="en-GB"/>
        </w:rPr>
        <w:t xml:space="preserve"> (amplicons)</w:t>
      </w:r>
      <w:r w:rsidR="000B3E67" w:rsidRPr="00B662E4">
        <w:rPr>
          <w:lang w:val="en-GB"/>
        </w:rPr>
        <w:t xml:space="preserve"> in standard </w:t>
      </w:r>
      <w:r w:rsidR="001E5B1E" w:rsidRPr="00B662E4">
        <w:rPr>
          <w:lang w:val="en-GB"/>
        </w:rPr>
        <w:t>and deep-sequencing</w:t>
      </w:r>
      <w:r w:rsidR="00506760" w:rsidRPr="00B662E4">
        <w:rPr>
          <w:lang w:val="en-GB"/>
        </w:rPr>
        <w:t xml:space="preserve"> before and after selection</w:t>
      </w:r>
      <w:r w:rsidR="00804B65" w:rsidRPr="00D13780">
        <w:rPr>
          <w:b/>
          <w:lang w:val="en-GB"/>
        </w:rPr>
        <w:t xml:space="preserve"> </w:t>
      </w:r>
      <w:bookmarkEnd w:id="0"/>
    </w:p>
    <w:p w:rsidR="00506760" w:rsidRDefault="00506760" w:rsidP="00506760">
      <w:pPr>
        <w:jc w:val="both"/>
        <w:rPr>
          <w:lang w:val="en-GB"/>
        </w:rPr>
      </w:pPr>
    </w:p>
    <w:tbl>
      <w:tblPr>
        <w:tblW w:w="0" w:type="auto"/>
        <w:tblInd w:w="108" w:type="dxa"/>
        <w:tblLayout w:type="fixed"/>
        <w:tblLook w:val="0000" w:firstRow="0" w:lastRow="0" w:firstColumn="0" w:lastColumn="0" w:noHBand="0" w:noVBand="0"/>
      </w:tblPr>
      <w:tblGrid>
        <w:gridCol w:w="2787"/>
        <w:gridCol w:w="779"/>
        <w:gridCol w:w="782"/>
        <w:gridCol w:w="780"/>
        <w:gridCol w:w="782"/>
        <w:gridCol w:w="782"/>
        <w:gridCol w:w="782"/>
        <w:gridCol w:w="782"/>
        <w:gridCol w:w="782"/>
        <w:gridCol w:w="782"/>
        <w:gridCol w:w="782"/>
        <w:gridCol w:w="780"/>
        <w:gridCol w:w="782"/>
        <w:gridCol w:w="780"/>
        <w:gridCol w:w="790"/>
      </w:tblGrid>
      <w:tr w:rsidR="00506760" w:rsidTr="00E90E4D">
        <w:trPr>
          <w:trHeight w:val="487"/>
        </w:trPr>
        <w:tc>
          <w:tcPr>
            <w:tcW w:w="2787" w:type="dxa"/>
            <w:vMerge w:val="restart"/>
            <w:tcBorders>
              <w:top w:val="single" w:sz="8" w:space="0" w:color="000000"/>
              <w:bottom w:val="single" w:sz="4" w:space="0" w:color="008000"/>
            </w:tcBorders>
            <w:shd w:val="clear" w:color="auto" w:fill="auto"/>
            <w:vAlign w:val="center"/>
          </w:tcPr>
          <w:p w:rsidR="00506760" w:rsidRDefault="00506760" w:rsidP="00E90E4D">
            <w:pPr>
              <w:snapToGrid w:val="0"/>
              <w:jc w:val="both"/>
              <w:rPr>
                <w:sz w:val="20"/>
                <w:lang w:val="en-GB"/>
              </w:rPr>
            </w:pPr>
          </w:p>
        </w:tc>
        <w:tc>
          <w:tcPr>
            <w:tcW w:w="10947" w:type="dxa"/>
            <w:gridSpan w:val="14"/>
            <w:tcBorders>
              <w:top w:val="single" w:sz="8" w:space="0" w:color="000000"/>
              <w:bottom w:val="single" w:sz="8" w:space="0" w:color="000000"/>
            </w:tcBorders>
            <w:shd w:val="clear" w:color="auto" w:fill="auto"/>
            <w:vAlign w:val="center"/>
          </w:tcPr>
          <w:p w:rsidR="00506760" w:rsidRDefault="00506760" w:rsidP="00E90E4D">
            <w:pPr>
              <w:jc w:val="center"/>
              <w:rPr>
                <w:sz w:val="20"/>
                <w:szCs w:val="16"/>
              </w:rPr>
            </w:pPr>
            <w:r>
              <w:rPr>
                <w:sz w:val="20"/>
              </w:rPr>
              <w:t>Mutations</w:t>
            </w:r>
          </w:p>
        </w:tc>
      </w:tr>
      <w:tr w:rsidR="00506760" w:rsidTr="00E90E4D">
        <w:trPr>
          <w:trHeight w:val="438"/>
        </w:trPr>
        <w:tc>
          <w:tcPr>
            <w:tcW w:w="2787" w:type="dxa"/>
            <w:vMerge/>
            <w:tcBorders>
              <w:bottom w:val="single" w:sz="8" w:space="0" w:color="000000"/>
            </w:tcBorders>
            <w:shd w:val="clear" w:color="auto" w:fill="auto"/>
            <w:vAlign w:val="center"/>
          </w:tcPr>
          <w:p w:rsidR="00506760" w:rsidRDefault="00506760" w:rsidP="00E90E4D">
            <w:pPr>
              <w:snapToGrid w:val="0"/>
              <w:jc w:val="both"/>
              <w:rPr>
                <w:sz w:val="20"/>
                <w:szCs w:val="16"/>
              </w:rPr>
            </w:pPr>
          </w:p>
        </w:tc>
        <w:tc>
          <w:tcPr>
            <w:tcW w:w="779"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G→A</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G→T</w:t>
            </w:r>
          </w:p>
        </w:tc>
        <w:tc>
          <w:tcPr>
            <w:tcW w:w="780"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G→C</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A→T</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A→G</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A→C</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T→C</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T→A</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T→G</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C→A</w:t>
            </w:r>
          </w:p>
        </w:tc>
        <w:tc>
          <w:tcPr>
            <w:tcW w:w="780"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C→T</w:t>
            </w:r>
          </w:p>
        </w:tc>
        <w:tc>
          <w:tcPr>
            <w:tcW w:w="782"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r>
              <w:rPr>
                <w:sz w:val="18"/>
                <w:szCs w:val="18"/>
              </w:rPr>
              <w:t>C→G</w:t>
            </w:r>
          </w:p>
        </w:tc>
        <w:tc>
          <w:tcPr>
            <w:tcW w:w="780"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rPr>
            </w:pPr>
            <w:proofErr w:type="spellStart"/>
            <w:r>
              <w:rPr>
                <w:sz w:val="18"/>
                <w:szCs w:val="18"/>
              </w:rPr>
              <w:t>Del.</w:t>
            </w:r>
            <w:r>
              <w:rPr>
                <w:sz w:val="20"/>
                <w:szCs w:val="20"/>
                <w:vertAlign w:val="superscript"/>
              </w:rPr>
              <w:t>c</w:t>
            </w:r>
            <w:proofErr w:type="spellEnd"/>
          </w:p>
        </w:tc>
        <w:tc>
          <w:tcPr>
            <w:tcW w:w="790" w:type="dxa"/>
            <w:tcBorders>
              <w:top w:val="single" w:sz="8" w:space="0" w:color="000000"/>
              <w:bottom w:val="single" w:sz="8" w:space="0" w:color="000000"/>
            </w:tcBorders>
            <w:shd w:val="clear" w:color="auto" w:fill="auto"/>
            <w:vAlign w:val="center"/>
          </w:tcPr>
          <w:p w:rsidR="00506760" w:rsidRDefault="00506760" w:rsidP="00E90E4D">
            <w:pPr>
              <w:jc w:val="both"/>
              <w:rPr>
                <w:sz w:val="18"/>
                <w:szCs w:val="18"/>
                <w:lang w:val="en-GB"/>
              </w:rPr>
            </w:pPr>
            <w:proofErr w:type="spellStart"/>
            <w:r>
              <w:rPr>
                <w:sz w:val="18"/>
                <w:szCs w:val="18"/>
              </w:rPr>
              <w:t>Ins</w:t>
            </w:r>
            <w:r>
              <w:rPr>
                <w:sz w:val="20"/>
                <w:szCs w:val="20"/>
              </w:rPr>
              <w:t>.</w:t>
            </w:r>
            <w:r>
              <w:rPr>
                <w:sz w:val="20"/>
                <w:szCs w:val="20"/>
                <w:vertAlign w:val="superscript"/>
              </w:rPr>
              <w:t>d</w:t>
            </w:r>
            <w:proofErr w:type="spellEnd"/>
          </w:p>
        </w:tc>
      </w:tr>
      <w:tr w:rsidR="00506760" w:rsidTr="00E90E4D">
        <w:trPr>
          <w:trHeight w:val="438"/>
        </w:trPr>
        <w:tc>
          <w:tcPr>
            <w:tcW w:w="2787" w:type="dxa"/>
            <w:tcBorders>
              <w:top w:val="single" w:sz="8" w:space="0" w:color="000000"/>
              <w:bottom w:val="single" w:sz="4" w:space="0" w:color="000000"/>
            </w:tcBorders>
            <w:shd w:val="clear" w:color="auto" w:fill="auto"/>
            <w:vAlign w:val="center"/>
          </w:tcPr>
          <w:p w:rsidR="00506760" w:rsidRPr="00CD5E83" w:rsidRDefault="00506760" w:rsidP="00E90E4D">
            <w:pPr>
              <w:jc w:val="both"/>
              <w:rPr>
                <w:b/>
                <w:sz w:val="20"/>
                <w:lang w:val="en-GB"/>
              </w:rPr>
            </w:pPr>
            <w:r w:rsidRPr="00CD5E83">
              <w:rPr>
                <w:b/>
                <w:sz w:val="18"/>
                <w:szCs w:val="18"/>
                <w:lang w:val="en-GB"/>
              </w:rPr>
              <w:t>L (Standard seq.; %)</w:t>
            </w:r>
            <w:r w:rsidRPr="00CD5E83">
              <w:rPr>
                <w:b/>
                <w:sz w:val="20"/>
                <w:szCs w:val="20"/>
                <w:vertAlign w:val="superscript"/>
                <w:lang w:val="en-GB"/>
              </w:rPr>
              <w:t>a</w:t>
            </w:r>
          </w:p>
        </w:tc>
        <w:tc>
          <w:tcPr>
            <w:tcW w:w="779" w:type="dxa"/>
            <w:tcBorders>
              <w:top w:val="single" w:sz="8" w:space="0" w:color="000000"/>
              <w:bottom w:val="single" w:sz="4" w:space="0" w:color="000000"/>
            </w:tcBorders>
            <w:shd w:val="clear" w:color="auto" w:fill="auto"/>
            <w:vAlign w:val="center"/>
          </w:tcPr>
          <w:p w:rsidR="00506760" w:rsidRPr="00672401" w:rsidRDefault="00506760" w:rsidP="00E90E4D">
            <w:pPr>
              <w:jc w:val="both"/>
              <w:rPr>
                <w:b/>
                <w:sz w:val="20"/>
                <w:lang w:val="en-GB"/>
              </w:rPr>
            </w:pPr>
            <w:r w:rsidRPr="00672401">
              <w:rPr>
                <w:b/>
                <w:sz w:val="20"/>
                <w:lang w:val="en-GB"/>
              </w:rPr>
              <w:t>2</w:t>
            </w:r>
            <w:r w:rsidR="00EB7BF7" w:rsidRPr="00672401">
              <w:rPr>
                <w:b/>
                <w:sz w:val="20"/>
                <w:lang w:val="en-GB"/>
              </w:rPr>
              <w:t>3.5</w:t>
            </w:r>
          </w:p>
        </w:tc>
        <w:tc>
          <w:tcPr>
            <w:tcW w:w="782"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6.1</w:t>
            </w:r>
          </w:p>
        </w:tc>
        <w:tc>
          <w:tcPr>
            <w:tcW w:w="780"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3.1</w:t>
            </w:r>
          </w:p>
        </w:tc>
        <w:tc>
          <w:tcPr>
            <w:tcW w:w="782" w:type="dxa"/>
            <w:tcBorders>
              <w:top w:val="single" w:sz="8" w:space="0" w:color="000000"/>
              <w:bottom w:val="single" w:sz="4" w:space="0" w:color="000000"/>
            </w:tcBorders>
            <w:shd w:val="clear" w:color="auto" w:fill="auto"/>
            <w:vAlign w:val="center"/>
          </w:tcPr>
          <w:p w:rsidR="00506760" w:rsidRPr="00672401" w:rsidRDefault="00506760" w:rsidP="00E90E4D">
            <w:pPr>
              <w:jc w:val="both"/>
              <w:rPr>
                <w:b/>
                <w:sz w:val="20"/>
                <w:lang w:val="en-GB"/>
              </w:rPr>
            </w:pPr>
            <w:r w:rsidRPr="00672401">
              <w:rPr>
                <w:b/>
                <w:sz w:val="20"/>
                <w:lang w:val="en-GB"/>
              </w:rPr>
              <w:t>1</w:t>
            </w:r>
            <w:r w:rsidR="00EB7BF7" w:rsidRPr="00672401">
              <w:rPr>
                <w:b/>
                <w:sz w:val="20"/>
                <w:lang w:val="en-GB"/>
              </w:rPr>
              <w:t>4.3</w:t>
            </w:r>
          </w:p>
        </w:tc>
        <w:tc>
          <w:tcPr>
            <w:tcW w:w="782"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9.2</w:t>
            </w:r>
          </w:p>
        </w:tc>
        <w:tc>
          <w:tcPr>
            <w:tcW w:w="782"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1.0</w:t>
            </w:r>
          </w:p>
        </w:tc>
        <w:tc>
          <w:tcPr>
            <w:tcW w:w="782" w:type="dxa"/>
            <w:tcBorders>
              <w:top w:val="single" w:sz="8" w:space="0" w:color="000000"/>
              <w:bottom w:val="single" w:sz="4" w:space="0" w:color="000000"/>
            </w:tcBorders>
            <w:shd w:val="clear" w:color="auto" w:fill="auto"/>
            <w:vAlign w:val="center"/>
          </w:tcPr>
          <w:p w:rsidR="00506760" w:rsidRPr="00672401" w:rsidRDefault="002A400F" w:rsidP="00E90E4D">
            <w:pPr>
              <w:jc w:val="both"/>
              <w:rPr>
                <w:b/>
                <w:sz w:val="20"/>
                <w:lang w:val="en-GB"/>
              </w:rPr>
            </w:pPr>
            <w:r w:rsidRPr="00672401">
              <w:rPr>
                <w:b/>
                <w:sz w:val="20"/>
                <w:lang w:val="en-GB"/>
              </w:rPr>
              <w:t>6.</w:t>
            </w:r>
            <w:r w:rsidR="00EB7BF7" w:rsidRPr="00672401">
              <w:rPr>
                <w:b/>
                <w:sz w:val="20"/>
                <w:lang w:val="en-GB"/>
              </w:rPr>
              <w:t>1</w:t>
            </w:r>
          </w:p>
        </w:tc>
        <w:tc>
          <w:tcPr>
            <w:tcW w:w="782" w:type="dxa"/>
            <w:tcBorders>
              <w:top w:val="single" w:sz="8" w:space="0" w:color="000000"/>
              <w:bottom w:val="single" w:sz="4" w:space="0" w:color="000000"/>
            </w:tcBorders>
            <w:shd w:val="clear" w:color="auto" w:fill="auto"/>
            <w:vAlign w:val="center"/>
          </w:tcPr>
          <w:p w:rsidR="00506760" w:rsidRPr="00672401" w:rsidRDefault="00506760" w:rsidP="00E90E4D">
            <w:pPr>
              <w:jc w:val="both"/>
              <w:rPr>
                <w:b/>
                <w:sz w:val="20"/>
                <w:lang w:val="en-GB"/>
              </w:rPr>
            </w:pPr>
            <w:r w:rsidRPr="00672401">
              <w:rPr>
                <w:b/>
                <w:sz w:val="20"/>
                <w:lang w:val="en-GB"/>
              </w:rPr>
              <w:t>13.</w:t>
            </w:r>
            <w:r w:rsidR="00EB7BF7" w:rsidRPr="00672401">
              <w:rPr>
                <w:b/>
                <w:sz w:val="20"/>
                <w:lang w:val="en-GB"/>
              </w:rPr>
              <w:t>3</w:t>
            </w:r>
          </w:p>
        </w:tc>
        <w:tc>
          <w:tcPr>
            <w:tcW w:w="782" w:type="dxa"/>
            <w:tcBorders>
              <w:top w:val="single" w:sz="8" w:space="0" w:color="000000"/>
              <w:bottom w:val="single" w:sz="4" w:space="0" w:color="000000"/>
            </w:tcBorders>
            <w:shd w:val="clear" w:color="auto" w:fill="auto"/>
            <w:vAlign w:val="center"/>
          </w:tcPr>
          <w:p w:rsidR="00506760" w:rsidRPr="00672401" w:rsidRDefault="002A400F" w:rsidP="00E90E4D">
            <w:pPr>
              <w:jc w:val="both"/>
              <w:rPr>
                <w:b/>
                <w:sz w:val="20"/>
                <w:lang w:val="en-GB"/>
              </w:rPr>
            </w:pPr>
            <w:r w:rsidRPr="00672401">
              <w:rPr>
                <w:b/>
                <w:sz w:val="20"/>
                <w:lang w:val="en-GB"/>
              </w:rPr>
              <w:t>6.</w:t>
            </w:r>
            <w:r w:rsidR="00EB7BF7" w:rsidRPr="00672401">
              <w:rPr>
                <w:b/>
                <w:sz w:val="20"/>
                <w:lang w:val="en-GB"/>
              </w:rPr>
              <w:t>1</w:t>
            </w:r>
          </w:p>
        </w:tc>
        <w:tc>
          <w:tcPr>
            <w:tcW w:w="782" w:type="dxa"/>
            <w:tcBorders>
              <w:top w:val="single" w:sz="8" w:space="0" w:color="000000"/>
              <w:bottom w:val="single" w:sz="4" w:space="0" w:color="000000"/>
            </w:tcBorders>
            <w:shd w:val="clear" w:color="auto" w:fill="auto"/>
            <w:vAlign w:val="center"/>
          </w:tcPr>
          <w:p w:rsidR="00506760" w:rsidRPr="00672401" w:rsidRDefault="00506760" w:rsidP="00E90E4D">
            <w:pPr>
              <w:jc w:val="both"/>
              <w:rPr>
                <w:b/>
                <w:sz w:val="20"/>
                <w:lang w:val="en-GB"/>
              </w:rPr>
            </w:pPr>
            <w:r w:rsidRPr="00672401">
              <w:rPr>
                <w:b/>
                <w:sz w:val="20"/>
                <w:lang w:val="en-GB"/>
              </w:rPr>
              <w:t>6.</w:t>
            </w:r>
            <w:r w:rsidR="00EB7BF7" w:rsidRPr="00672401">
              <w:rPr>
                <w:b/>
                <w:sz w:val="20"/>
                <w:lang w:val="en-GB"/>
              </w:rPr>
              <w:t>1</w:t>
            </w:r>
          </w:p>
        </w:tc>
        <w:tc>
          <w:tcPr>
            <w:tcW w:w="780"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6.1</w:t>
            </w:r>
          </w:p>
        </w:tc>
        <w:tc>
          <w:tcPr>
            <w:tcW w:w="782"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3.1</w:t>
            </w:r>
          </w:p>
        </w:tc>
        <w:tc>
          <w:tcPr>
            <w:tcW w:w="780" w:type="dxa"/>
            <w:tcBorders>
              <w:top w:val="single" w:sz="8" w:space="0" w:color="000000"/>
              <w:bottom w:val="single" w:sz="4" w:space="0" w:color="000000"/>
            </w:tcBorders>
            <w:shd w:val="clear" w:color="auto" w:fill="auto"/>
            <w:vAlign w:val="center"/>
          </w:tcPr>
          <w:p w:rsidR="00506760" w:rsidRPr="00672401" w:rsidRDefault="00EB7BF7" w:rsidP="00E90E4D">
            <w:pPr>
              <w:jc w:val="both"/>
              <w:rPr>
                <w:b/>
                <w:sz w:val="20"/>
                <w:lang w:val="en-GB"/>
              </w:rPr>
            </w:pPr>
            <w:r w:rsidRPr="00672401">
              <w:rPr>
                <w:b/>
                <w:sz w:val="20"/>
                <w:lang w:val="en-GB"/>
              </w:rPr>
              <w:t>2.0</w:t>
            </w:r>
          </w:p>
        </w:tc>
        <w:tc>
          <w:tcPr>
            <w:tcW w:w="790" w:type="dxa"/>
            <w:tcBorders>
              <w:top w:val="single" w:sz="8" w:space="0" w:color="000000"/>
              <w:bottom w:val="single" w:sz="4" w:space="0" w:color="000000"/>
            </w:tcBorders>
            <w:shd w:val="clear" w:color="auto" w:fill="auto"/>
            <w:vAlign w:val="center"/>
          </w:tcPr>
          <w:p w:rsidR="00506760" w:rsidRPr="00672401" w:rsidRDefault="00506760" w:rsidP="00E90E4D">
            <w:pPr>
              <w:jc w:val="both"/>
              <w:rPr>
                <w:b/>
                <w:sz w:val="18"/>
                <w:szCs w:val="18"/>
                <w:lang w:val="en-GB"/>
              </w:rPr>
            </w:pPr>
            <w:r w:rsidRPr="00672401">
              <w:rPr>
                <w:b/>
                <w:sz w:val="20"/>
                <w:lang w:val="en-GB"/>
              </w:rPr>
              <w:t>0.</w:t>
            </w:r>
            <w:r w:rsidR="00283FEC" w:rsidRPr="00672401">
              <w:rPr>
                <w:b/>
                <w:sz w:val="20"/>
                <w:lang w:val="en-GB"/>
              </w:rPr>
              <w:t>0</w:t>
            </w:r>
          </w:p>
        </w:tc>
      </w:tr>
      <w:tr w:rsidR="00506760" w:rsidTr="00E90E4D">
        <w:trPr>
          <w:trHeight w:val="438"/>
        </w:trPr>
        <w:tc>
          <w:tcPr>
            <w:tcW w:w="2787"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18"/>
                <w:szCs w:val="18"/>
                <w:lang w:val="en-GB"/>
              </w:rPr>
              <w:t>L (Deep-seq.; %)</w:t>
            </w:r>
            <w:r>
              <w:rPr>
                <w:sz w:val="20"/>
                <w:szCs w:val="20"/>
                <w:vertAlign w:val="superscript"/>
                <w:lang w:val="en-GB"/>
              </w:rPr>
              <w:t>b</w:t>
            </w:r>
          </w:p>
        </w:tc>
        <w:tc>
          <w:tcPr>
            <w:tcW w:w="779"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19.4</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6.6</w:t>
            </w:r>
          </w:p>
        </w:tc>
        <w:tc>
          <w:tcPr>
            <w:tcW w:w="780"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1.4</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12.1</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6.4</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1.6</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11.6</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11.7</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0.0</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3.7</w:t>
            </w:r>
          </w:p>
        </w:tc>
        <w:tc>
          <w:tcPr>
            <w:tcW w:w="780"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21.1</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3.4</w:t>
            </w:r>
          </w:p>
        </w:tc>
        <w:tc>
          <w:tcPr>
            <w:tcW w:w="780" w:type="dxa"/>
            <w:tcBorders>
              <w:top w:val="single" w:sz="4" w:space="0" w:color="000000"/>
              <w:bottom w:val="single" w:sz="8" w:space="0" w:color="000000"/>
            </w:tcBorders>
            <w:shd w:val="clear" w:color="auto" w:fill="auto"/>
            <w:vAlign w:val="center"/>
          </w:tcPr>
          <w:p w:rsidR="00506760" w:rsidRDefault="00506760" w:rsidP="00E90E4D">
            <w:pPr>
              <w:jc w:val="both"/>
              <w:rPr>
                <w:sz w:val="20"/>
                <w:lang w:val="en-GB"/>
              </w:rPr>
            </w:pPr>
            <w:r>
              <w:rPr>
                <w:sz w:val="20"/>
                <w:lang w:val="en-GB"/>
              </w:rPr>
              <w:t>0.9</w:t>
            </w:r>
          </w:p>
        </w:tc>
        <w:tc>
          <w:tcPr>
            <w:tcW w:w="790" w:type="dxa"/>
            <w:tcBorders>
              <w:top w:val="single" w:sz="4" w:space="0" w:color="000000"/>
              <w:bottom w:val="single" w:sz="8" w:space="0" w:color="000000"/>
            </w:tcBorders>
            <w:shd w:val="clear" w:color="auto" w:fill="auto"/>
            <w:vAlign w:val="center"/>
          </w:tcPr>
          <w:p w:rsidR="00506760" w:rsidRDefault="00506760" w:rsidP="00E90E4D">
            <w:pPr>
              <w:jc w:val="both"/>
              <w:rPr>
                <w:sz w:val="18"/>
                <w:szCs w:val="18"/>
                <w:lang w:val="en-GB"/>
              </w:rPr>
            </w:pPr>
            <w:r>
              <w:rPr>
                <w:sz w:val="20"/>
                <w:lang w:val="en-GB"/>
              </w:rPr>
              <w:t>0.0</w:t>
            </w:r>
          </w:p>
        </w:tc>
      </w:tr>
      <w:tr w:rsidR="00506760" w:rsidTr="00E90E4D">
        <w:trPr>
          <w:trHeight w:val="438"/>
        </w:trPr>
        <w:tc>
          <w:tcPr>
            <w:tcW w:w="2787" w:type="dxa"/>
            <w:tcBorders>
              <w:top w:val="single" w:sz="8" w:space="0" w:color="000000"/>
              <w:bottom w:val="single" w:sz="4" w:space="0" w:color="000000"/>
            </w:tcBorders>
            <w:shd w:val="clear" w:color="auto" w:fill="auto"/>
            <w:vAlign w:val="center"/>
          </w:tcPr>
          <w:p w:rsidR="00506760" w:rsidRPr="00CD5E83" w:rsidRDefault="00506760" w:rsidP="00E90E4D">
            <w:pPr>
              <w:jc w:val="both"/>
              <w:rPr>
                <w:b/>
                <w:iCs/>
                <w:sz w:val="20"/>
                <w:szCs w:val="20"/>
                <w:lang w:val="en-GB"/>
              </w:rPr>
            </w:pPr>
            <w:r w:rsidRPr="00CD5E83">
              <w:rPr>
                <w:b/>
                <w:sz w:val="18"/>
                <w:szCs w:val="18"/>
                <w:lang w:val="en-GB"/>
              </w:rPr>
              <w:t>4E10sL (Standard seq.; %)</w:t>
            </w:r>
            <w:r w:rsidRPr="00CD5E83">
              <w:rPr>
                <w:b/>
                <w:sz w:val="20"/>
                <w:szCs w:val="20"/>
                <w:vertAlign w:val="superscript"/>
                <w:lang w:val="en-GB"/>
              </w:rPr>
              <w:t>a</w:t>
            </w:r>
          </w:p>
        </w:tc>
        <w:tc>
          <w:tcPr>
            <w:tcW w:w="779"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24.5</w:t>
            </w:r>
          </w:p>
        </w:tc>
        <w:tc>
          <w:tcPr>
            <w:tcW w:w="782"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1.9</w:t>
            </w:r>
          </w:p>
        </w:tc>
        <w:tc>
          <w:tcPr>
            <w:tcW w:w="780"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3.8</w:t>
            </w:r>
          </w:p>
        </w:tc>
        <w:tc>
          <w:tcPr>
            <w:tcW w:w="782"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13.2</w:t>
            </w:r>
          </w:p>
        </w:tc>
        <w:tc>
          <w:tcPr>
            <w:tcW w:w="782"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24.5</w:t>
            </w:r>
          </w:p>
        </w:tc>
        <w:tc>
          <w:tcPr>
            <w:tcW w:w="782" w:type="dxa"/>
            <w:tcBorders>
              <w:top w:val="single" w:sz="8" w:space="0" w:color="000000"/>
              <w:bottom w:val="single" w:sz="4" w:space="0" w:color="000000"/>
            </w:tcBorders>
            <w:shd w:val="clear" w:color="auto" w:fill="auto"/>
            <w:vAlign w:val="center"/>
          </w:tcPr>
          <w:p w:rsidR="00506760" w:rsidRPr="00672401" w:rsidRDefault="00506760" w:rsidP="00E90E4D">
            <w:pPr>
              <w:jc w:val="both"/>
              <w:rPr>
                <w:b/>
                <w:iCs/>
                <w:sz w:val="20"/>
                <w:szCs w:val="20"/>
                <w:lang w:val="en-GB"/>
              </w:rPr>
            </w:pPr>
            <w:r w:rsidRPr="00672401">
              <w:rPr>
                <w:b/>
                <w:iCs/>
                <w:sz w:val="20"/>
                <w:szCs w:val="20"/>
                <w:lang w:val="en-GB"/>
              </w:rPr>
              <w:t>0.0</w:t>
            </w:r>
          </w:p>
        </w:tc>
        <w:tc>
          <w:tcPr>
            <w:tcW w:w="782" w:type="dxa"/>
            <w:tcBorders>
              <w:top w:val="single" w:sz="8" w:space="0" w:color="000000"/>
              <w:bottom w:val="single" w:sz="4" w:space="0" w:color="000000"/>
            </w:tcBorders>
            <w:shd w:val="clear" w:color="auto" w:fill="auto"/>
            <w:vAlign w:val="center"/>
          </w:tcPr>
          <w:p w:rsidR="00506760" w:rsidRPr="00672401" w:rsidRDefault="000C21FB" w:rsidP="00E90E4D">
            <w:pPr>
              <w:jc w:val="both"/>
              <w:rPr>
                <w:b/>
                <w:iCs/>
                <w:sz w:val="20"/>
                <w:szCs w:val="20"/>
                <w:lang w:val="en-GB"/>
              </w:rPr>
            </w:pPr>
            <w:r w:rsidRPr="00672401">
              <w:rPr>
                <w:b/>
                <w:iCs/>
                <w:sz w:val="20"/>
                <w:szCs w:val="20"/>
                <w:lang w:val="en-GB"/>
              </w:rPr>
              <w:t>1.</w:t>
            </w:r>
            <w:r w:rsidR="003F41D8" w:rsidRPr="00672401">
              <w:rPr>
                <w:b/>
                <w:iCs/>
                <w:sz w:val="20"/>
                <w:szCs w:val="20"/>
                <w:lang w:val="en-GB"/>
              </w:rPr>
              <w:t>9</w:t>
            </w:r>
          </w:p>
        </w:tc>
        <w:tc>
          <w:tcPr>
            <w:tcW w:w="782"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7.5</w:t>
            </w:r>
          </w:p>
        </w:tc>
        <w:tc>
          <w:tcPr>
            <w:tcW w:w="782" w:type="dxa"/>
            <w:tcBorders>
              <w:top w:val="single" w:sz="8" w:space="0" w:color="000000"/>
              <w:bottom w:val="single" w:sz="4" w:space="0" w:color="000000"/>
            </w:tcBorders>
            <w:shd w:val="clear" w:color="auto" w:fill="auto"/>
            <w:vAlign w:val="center"/>
          </w:tcPr>
          <w:p w:rsidR="00506760" w:rsidRPr="00672401" w:rsidRDefault="000C21FB" w:rsidP="00E90E4D">
            <w:pPr>
              <w:jc w:val="both"/>
              <w:rPr>
                <w:b/>
                <w:iCs/>
                <w:sz w:val="20"/>
                <w:szCs w:val="20"/>
                <w:lang w:val="en-GB"/>
              </w:rPr>
            </w:pPr>
            <w:r w:rsidRPr="00672401">
              <w:rPr>
                <w:b/>
                <w:iCs/>
                <w:sz w:val="20"/>
                <w:szCs w:val="20"/>
                <w:lang w:val="en-GB"/>
              </w:rPr>
              <w:t>3.8</w:t>
            </w:r>
          </w:p>
        </w:tc>
        <w:tc>
          <w:tcPr>
            <w:tcW w:w="782"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15.1</w:t>
            </w:r>
          </w:p>
        </w:tc>
        <w:tc>
          <w:tcPr>
            <w:tcW w:w="780"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3.8</w:t>
            </w:r>
          </w:p>
        </w:tc>
        <w:tc>
          <w:tcPr>
            <w:tcW w:w="782" w:type="dxa"/>
            <w:tcBorders>
              <w:top w:val="single" w:sz="8" w:space="0" w:color="000000"/>
              <w:bottom w:val="single" w:sz="4" w:space="0" w:color="000000"/>
            </w:tcBorders>
            <w:shd w:val="clear" w:color="auto" w:fill="auto"/>
            <w:vAlign w:val="center"/>
          </w:tcPr>
          <w:p w:rsidR="00506760" w:rsidRPr="00672401" w:rsidRDefault="00506760" w:rsidP="00E90E4D">
            <w:pPr>
              <w:jc w:val="both"/>
              <w:rPr>
                <w:b/>
                <w:iCs/>
                <w:sz w:val="20"/>
                <w:szCs w:val="20"/>
                <w:lang w:val="en-GB"/>
              </w:rPr>
            </w:pPr>
            <w:r w:rsidRPr="00672401">
              <w:rPr>
                <w:b/>
                <w:iCs/>
                <w:sz w:val="20"/>
                <w:szCs w:val="20"/>
                <w:lang w:val="en-GB"/>
              </w:rPr>
              <w:t>0.0</w:t>
            </w:r>
          </w:p>
        </w:tc>
        <w:tc>
          <w:tcPr>
            <w:tcW w:w="780" w:type="dxa"/>
            <w:tcBorders>
              <w:top w:val="single" w:sz="8" w:space="0" w:color="000000"/>
              <w:bottom w:val="single" w:sz="4" w:space="0" w:color="000000"/>
            </w:tcBorders>
            <w:shd w:val="clear" w:color="auto" w:fill="auto"/>
            <w:vAlign w:val="center"/>
          </w:tcPr>
          <w:p w:rsidR="00506760" w:rsidRPr="00672401" w:rsidRDefault="003F41D8" w:rsidP="00E90E4D">
            <w:pPr>
              <w:jc w:val="both"/>
              <w:rPr>
                <w:b/>
                <w:iCs/>
                <w:sz w:val="20"/>
                <w:szCs w:val="20"/>
                <w:lang w:val="en-GB"/>
              </w:rPr>
            </w:pPr>
            <w:r w:rsidRPr="00672401">
              <w:rPr>
                <w:b/>
                <w:iCs/>
                <w:sz w:val="20"/>
                <w:szCs w:val="20"/>
                <w:lang w:val="en-GB"/>
              </w:rPr>
              <w:t>0.0</w:t>
            </w:r>
          </w:p>
        </w:tc>
        <w:tc>
          <w:tcPr>
            <w:tcW w:w="790" w:type="dxa"/>
            <w:tcBorders>
              <w:top w:val="single" w:sz="8" w:space="0" w:color="000000"/>
              <w:bottom w:val="single" w:sz="4" w:space="0" w:color="000000"/>
            </w:tcBorders>
            <w:shd w:val="clear" w:color="auto" w:fill="auto"/>
            <w:vAlign w:val="center"/>
          </w:tcPr>
          <w:p w:rsidR="00506760" w:rsidRPr="00672401" w:rsidRDefault="00506760" w:rsidP="00E90E4D">
            <w:pPr>
              <w:jc w:val="both"/>
              <w:rPr>
                <w:b/>
                <w:sz w:val="18"/>
                <w:szCs w:val="18"/>
                <w:lang w:val="en-GB"/>
              </w:rPr>
            </w:pPr>
            <w:r w:rsidRPr="00672401">
              <w:rPr>
                <w:b/>
                <w:iCs/>
                <w:sz w:val="20"/>
                <w:szCs w:val="20"/>
                <w:lang w:val="en-GB"/>
              </w:rPr>
              <w:t>0.0</w:t>
            </w:r>
          </w:p>
        </w:tc>
      </w:tr>
      <w:tr w:rsidR="00506760" w:rsidTr="00E90E4D">
        <w:trPr>
          <w:trHeight w:val="461"/>
        </w:trPr>
        <w:tc>
          <w:tcPr>
            <w:tcW w:w="2787"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sz w:val="18"/>
                <w:szCs w:val="18"/>
                <w:lang w:val="en-GB"/>
              </w:rPr>
              <w:t>4E10sL (Deep-seq.; %)</w:t>
            </w:r>
            <w:r>
              <w:rPr>
                <w:sz w:val="20"/>
                <w:szCs w:val="20"/>
                <w:vertAlign w:val="superscript"/>
                <w:lang w:val="en-GB"/>
              </w:rPr>
              <w:t>b</w:t>
            </w:r>
          </w:p>
        </w:tc>
        <w:tc>
          <w:tcPr>
            <w:tcW w:w="779"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13.9</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5.6</w:t>
            </w:r>
          </w:p>
        </w:tc>
        <w:tc>
          <w:tcPr>
            <w:tcW w:w="780"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6.3</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21.4</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19.1</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3.2</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7.0</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12.7</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1.8</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2.5</w:t>
            </w:r>
          </w:p>
        </w:tc>
        <w:tc>
          <w:tcPr>
            <w:tcW w:w="780"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5.8</w:t>
            </w:r>
          </w:p>
        </w:tc>
        <w:tc>
          <w:tcPr>
            <w:tcW w:w="782"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0.7</w:t>
            </w:r>
          </w:p>
        </w:tc>
        <w:tc>
          <w:tcPr>
            <w:tcW w:w="780" w:type="dxa"/>
            <w:tcBorders>
              <w:top w:val="single" w:sz="4" w:space="0" w:color="000000"/>
              <w:bottom w:val="single" w:sz="8" w:space="0" w:color="000000"/>
            </w:tcBorders>
            <w:shd w:val="clear" w:color="auto" w:fill="auto"/>
            <w:vAlign w:val="center"/>
          </w:tcPr>
          <w:p w:rsidR="00506760" w:rsidRDefault="00506760" w:rsidP="00E90E4D">
            <w:pPr>
              <w:jc w:val="both"/>
              <w:rPr>
                <w:iCs/>
                <w:sz w:val="20"/>
                <w:szCs w:val="20"/>
                <w:lang w:val="en-GB"/>
              </w:rPr>
            </w:pPr>
            <w:r>
              <w:rPr>
                <w:iCs/>
                <w:sz w:val="20"/>
                <w:szCs w:val="20"/>
                <w:lang w:val="en-GB"/>
              </w:rPr>
              <w:t>0.0</w:t>
            </w:r>
          </w:p>
        </w:tc>
        <w:tc>
          <w:tcPr>
            <w:tcW w:w="790" w:type="dxa"/>
            <w:tcBorders>
              <w:top w:val="single" w:sz="4" w:space="0" w:color="000000"/>
              <w:bottom w:val="single" w:sz="8" w:space="0" w:color="000000"/>
            </w:tcBorders>
            <w:shd w:val="clear" w:color="auto" w:fill="auto"/>
            <w:vAlign w:val="center"/>
          </w:tcPr>
          <w:p w:rsidR="00506760" w:rsidRDefault="00506760" w:rsidP="00E90E4D">
            <w:pPr>
              <w:jc w:val="both"/>
              <w:rPr>
                <w:vertAlign w:val="superscript"/>
                <w:lang w:val="en-GB"/>
              </w:rPr>
            </w:pPr>
            <w:r>
              <w:rPr>
                <w:iCs/>
                <w:sz w:val="20"/>
                <w:szCs w:val="20"/>
                <w:lang w:val="en-GB"/>
              </w:rPr>
              <w:t>0.0</w:t>
            </w:r>
          </w:p>
        </w:tc>
      </w:tr>
    </w:tbl>
    <w:p w:rsidR="00506760" w:rsidRDefault="00506760" w:rsidP="00506760">
      <w:pPr>
        <w:jc w:val="both"/>
        <w:rPr>
          <w:vertAlign w:val="superscript"/>
          <w:lang w:val="en-GB"/>
        </w:rPr>
      </w:pPr>
      <w:r>
        <w:rPr>
          <w:vertAlign w:val="superscript"/>
          <w:lang w:val="en-GB"/>
        </w:rPr>
        <w:t>a</w:t>
      </w:r>
      <w:r>
        <w:rPr>
          <w:lang w:val="en-GB"/>
        </w:rPr>
        <w:t xml:space="preserve"> The </w:t>
      </w:r>
      <w:r>
        <w:rPr>
          <w:i/>
          <w:lang w:val="en-GB"/>
        </w:rPr>
        <w:t>env</w:t>
      </w:r>
      <w:r>
        <w:rPr>
          <w:lang w:val="en-GB"/>
        </w:rPr>
        <w:t xml:space="preserve"> nucleotide sequence of 15 clones from the initial library (L) and 7 clones from the library after one round of R.I.S. selection with 4E10 monoclonal antibody (4E10sL) was determined as described in Materials and Methods section. The percentages are calculated over the total number of mutations</w:t>
      </w:r>
      <w:r w:rsidR="00E349C4">
        <w:rPr>
          <w:lang w:val="en-GB"/>
        </w:rPr>
        <w:t>.</w:t>
      </w:r>
    </w:p>
    <w:p w:rsidR="00506760" w:rsidRDefault="00506760" w:rsidP="00506760">
      <w:pPr>
        <w:jc w:val="both"/>
        <w:rPr>
          <w:vertAlign w:val="superscript"/>
          <w:lang w:val="en-GB"/>
        </w:rPr>
      </w:pPr>
      <w:r>
        <w:rPr>
          <w:vertAlign w:val="superscript"/>
          <w:lang w:val="en-GB"/>
        </w:rPr>
        <w:t>b</w:t>
      </w:r>
      <w:r>
        <w:rPr>
          <w:lang w:val="en-GB"/>
        </w:rPr>
        <w:t xml:space="preserve"> More than 9,000 sequence reads were obtained for each of the 3 amplicons generated (Supplementary Fig. 1) from both the initial library (L) and the library after one round of R.I.S. selection with 4E10 monoclonal antibody as described in Materials and Methods section. The percentages are calculated over the total number of mutations. </w:t>
      </w:r>
    </w:p>
    <w:p w:rsidR="00506760" w:rsidRDefault="00506760" w:rsidP="00506760">
      <w:pPr>
        <w:jc w:val="both"/>
        <w:rPr>
          <w:vertAlign w:val="superscript"/>
          <w:lang w:val="en-GB"/>
        </w:rPr>
      </w:pPr>
      <w:r>
        <w:rPr>
          <w:vertAlign w:val="superscript"/>
          <w:lang w:val="en-GB"/>
        </w:rPr>
        <w:t>c</w:t>
      </w:r>
      <w:r>
        <w:rPr>
          <w:lang w:val="en-GB"/>
        </w:rPr>
        <w:t xml:space="preserve"> Nucleotide deletions</w:t>
      </w:r>
    </w:p>
    <w:p w:rsidR="00506760" w:rsidRDefault="00506760" w:rsidP="00506760">
      <w:pPr>
        <w:jc w:val="both"/>
        <w:rPr>
          <w:lang w:val="en-GB"/>
        </w:rPr>
      </w:pPr>
      <w:r>
        <w:rPr>
          <w:vertAlign w:val="superscript"/>
          <w:lang w:val="en-GB"/>
        </w:rPr>
        <w:t>d</w:t>
      </w:r>
      <w:r>
        <w:rPr>
          <w:lang w:val="en-GB"/>
        </w:rPr>
        <w:t xml:space="preserve"> Nucleotide insertions. </w:t>
      </w:r>
    </w:p>
    <w:p w:rsidR="00935BD6" w:rsidRPr="00506760" w:rsidRDefault="00B662E4">
      <w:pPr>
        <w:rPr>
          <w:lang w:val="en-GB"/>
        </w:rPr>
      </w:pPr>
    </w:p>
    <w:sectPr w:rsidR="00935BD6" w:rsidRPr="00506760" w:rsidSect="0050676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60"/>
    <w:rsid w:val="00015FED"/>
    <w:rsid w:val="000B3E67"/>
    <w:rsid w:val="000C21FB"/>
    <w:rsid w:val="00151B11"/>
    <w:rsid w:val="001E5B1E"/>
    <w:rsid w:val="00283FEC"/>
    <w:rsid w:val="002A400F"/>
    <w:rsid w:val="002D2DB5"/>
    <w:rsid w:val="003F41D8"/>
    <w:rsid w:val="00467D94"/>
    <w:rsid w:val="00506760"/>
    <w:rsid w:val="00672401"/>
    <w:rsid w:val="00757715"/>
    <w:rsid w:val="00804B65"/>
    <w:rsid w:val="00910157"/>
    <w:rsid w:val="00967787"/>
    <w:rsid w:val="00B5439D"/>
    <w:rsid w:val="00B662E4"/>
    <w:rsid w:val="00CD1320"/>
    <w:rsid w:val="00CD5E83"/>
    <w:rsid w:val="00D13780"/>
    <w:rsid w:val="00DB58A2"/>
    <w:rsid w:val="00E349C4"/>
    <w:rsid w:val="00EB7BF7"/>
    <w:rsid w:val="00F41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8AF30-1DCC-4A1C-BAA2-E4AF6B57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60"/>
    <w:pPr>
      <w:suppressAutoHyphens/>
      <w:spacing w:after="0" w:line="240" w:lineRule="auto"/>
    </w:pPr>
    <w:rPr>
      <w:rFonts w:ascii="Times New Roman" w:eastAsia="Times New Roman" w:hAnsi="Times New Roman" w:cs="Times New Roman"/>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Yuste Herranz</dc:creator>
  <cp:lastModifiedBy>Maria Eloisa Yuste Herranz</cp:lastModifiedBy>
  <cp:revision>3</cp:revision>
  <dcterms:created xsi:type="dcterms:W3CDTF">2018-11-22T08:40:00Z</dcterms:created>
  <dcterms:modified xsi:type="dcterms:W3CDTF">2018-11-22T08:41:00Z</dcterms:modified>
</cp:coreProperties>
</file>