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3DF4" w14:textId="5BD3D1CC" w:rsidR="00170CFB" w:rsidRDefault="000C6D32">
      <w:pPr>
        <w:spacing w:line="480" w:lineRule="auto"/>
        <w:rPr>
          <w:b/>
          <w:lang w:eastAsia="zh-CN"/>
        </w:rPr>
      </w:pPr>
      <w:r w:rsidRPr="00983855">
        <w:rPr>
          <w:b/>
        </w:rPr>
        <w:t>Supporting information</w:t>
      </w:r>
      <w:r w:rsidR="00824AD3">
        <w:rPr>
          <w:rFonts w:hint="eastAsia"/>
          <w:b/>
          <w:lang w:eastAsia="zh-CN"/>
        </w:rPr>
        <w:t xml:space="preserve"> on </w:t>
      </w:r>
      <w:r w:rsidR="00824AD3">
        <w:rPr>
          <w:b/>
        </w:rPr>
        <w:t>t</w:t>
      </w:r>
      <w:r w:rsidRPr="00983855">
        <w:rPr>
          <w:b/>
        </w:rPr>
        <w:t>he cost-effectiveness analysis of the New Rural Cooperative Medical Scheme in China</w:t>
      </w:r>
    </w:p>
    <w:p w14:paraId="68247891" w14:textId="77777777" w:rsidR="00824AD3" w:rsidRPr="00983855" w:rsidRDefault="00824AD3">
      <w:pPr>
        <w:spacing w:line="480" w:lineRule="auto"/>
        <w:rPr>
          <w:b/>
          <w:lang w:eastAsia="zh-CN"/>
        </w:rPr>
      </w:pPr>
    </w:p>
    <w:p w14:paraId="649E6FA9" w14:textId="77777777" w:rsidR="00170CFB" w:rsidRPr="00983855" w:rsidRDefault="000C6D32">
      <w:pPr>
        <w:keepNext/>
        <w:keepLines/>
        <w:spacing w:before="480" w:line="480" w:lineRule="auto"/>
        <w:rPr>
          <w:color w:val="366091"/>
        </w:rPr>
      </w:pPr>
      <w:r w:rsidRPr="00983855">
        <w:rPr>
          <w:color w:val="366091"/>
        </w:rPr>
        <w:t>Table of Contents</w:t>
      </w:r>
    </w:p>
    <w:sdt>
      <w:sdtPr>
        <w:id w:val="1741826445"/>
        <w:docPartObj>
          <w:docPartGallery w:val="Table of Contents"/>
          <w:docPartUnique/>
        </w:docPartObj>
      </w:sdtPr>
      <w:sdtContent>
        <w:p w14:paraId="2206DFE6" w14:textId="77777777" w:rsidR="00C60E59" w:rsidRDefault="000C6D32">
          <w:pPr>
            <w:pStyle w:val="TOC1"/>
            <w:rPr>
              <w:rFonts w:asciiTheme="minorHAnsi" w:eastAsiaTheme="minorEastAsia" w:hAnsiTheme="minorHAnsi" w:cstheme="minorBidi"/>
              <w:noProof/>
              <w:color w:val="auto"/>
            </w:rPr>
          </w:pPr>
          <w:r w:rsidRPr="00983855">
            <w:fldChar w:fldCharType="begin"/>
          </w:r>
          <w:r w:rsidRPr="00983855">
            <w:instrText xml:space="preserve"> TOC \h \u \z </w:instrText>
          </w:r>
          <w:r w:rsidRPr="00983855">
            <w:fldChar w:fldCharType="separate"/>
          </w:r>
          <w:hyperlink w:anchor="_Toc515773205" w:history="1">
            <w:r w:rsidR="00C60E59" w:rsidRPr="00EF7084">
              <w:rPr>
                <w:rStyle w:val="Hyperlink"/>
                <w:rFonts w:eastAsia="Cambria"/>
                <w:b/>
                <w:noProof/>
              </w:rPr>
              <w:t>1. 2013 W</w:t>
            </w:r>
            <w:r w:rsidR="00C60E59" w:rsidRPr="00EF7084">
              <w:rPr>
                <w:rStyle w:val="Hyperlink"/>
                <w:rFonts w:eastAsia="Cambria"/>
                <w:b/>
                <w:noProof/>
                <w:lang w:eastAsia="zh-CN"/>
              </w:rPr>
              <w:t xml:space="preserve">orld </w:t>
            </w:r>
            <w:r w:rsidR="00C60E59" w:rsidRPr="00EF7084">
              <w:rPr>
                <w:rStyle w:val="Hyperlink"/>
                <w:rFonts w:eastAsia="Cambria"/>
                <w:b/>
                <w:noProof/>
              </w:rPr>
              <w:t>H</w:t>
            </w:r>
            <w:r w:rsidR="00C60E59" w:rsidRPr="00EF7084">
              <w:rPr>
                <w:rStyle w:val="Hyperlink"/>
                <w:rFonts w:eastAsia="Cambria"/>
                <w:b/>
                <w:noProof/>
                <w:lang w:eastAsia="zh-CN"/>
              </w:rPr>
              <w:t xml:space="preserve">ealth </w:t>
            </w:r>
            <w:r w:rsidR="00C60E59" w:rsidRPr="00EF7084">
              <w:rPr>
                <w:rStyle w:val="Hyperlink"/>
                <w:rFonts w:eastAsia="Cambria"/>
                <w:b/>
                <w:noProof/>
              </w:rPr>
              <w:t>O</w:t>
            </w:r>
            <w:r w:rsidR="00C60E59" w:rsidRPr="00EF7084">
              <w:rPr>
                <w:rStyle w:val="Hyperlink"/>
                <w:rFonts w:eastAsia="Cambria"/>
                <w:b/>
                <w:noProof/>
                <w:lang w:eastAsia="zh-CN"/>
              </w:rPr>
              <w:t>rganization</w:t>
            </w:r>
            <w:r w:rsidR="00C60E59" w:rsidRPr="00EF7084">
              <w:rPr>
                <w:rStyle w:val="Hyperlink"/>
                <w:rFonts w:eastAsia="Cambria"/>
                <w:b/>
                <w:noProof/>
              </w:rPr>
              <w:t xml:space="preserve"> Chinese life table</w:t>
            </w:r>
            <w:r w:rsidR="00C60E59">
              <w:rPr>
                <w:noProof/>
                <w:webHidden/>
              </w:rPr>
              <w:tab/>
            </w:r>
            <w:r w:rsidR="00C60E59">
              <w:rPr>
                <w:noProof/>
                <w:webHidden/>
              </w:rPr>
              <w:fldChar w:fldCharType="begin"/>
            </w:r>
            <w:r w:rsidR="00C60E59">
              <w:rPr>
                <w:noProof/>
                <w:webHidden/>
              </w:rPr>
              <w:instrText xml:space="preserve"> PAGEREF _Toc515773205 \h </w:instrText>
            </w:r>
            <w:r w:rsidR="00C60E59">
              <w:rPr>
                <w:noProof/>
                <w:webHidden/>
              </w:rPr>
            </w:r>
            <w:r w:rsidR="00C60E59">
              <w:rPr>
                <w:noProof/>
                <w:webHidden/>
              </w:rPr>
              <w:fldChar w:fldCharType="separate"/>
            </w:r>
            <w:r w:rsidR="00C60E59">
              <w:rPr>
                <w:noProof/>
                <w:webHidden/>
              </w:rPr>
              <w:t>2</w:t>
            </w:r>
            <w:r w:rsidR="00C60E59">
              <w:rPr>
                <w:noProof/>
                <w:webHidden/>
              </w:rPr>
              <w:fldChar w:fldCharType="end"/>
            </w:r>
          </w:hyperlink>
        </w:p>
        <w:p w14:paraId="7CC84A20" w14:textId="77777777" w:rsidR="00C60E59" w:rsidRDefault="007631E7">
          <w:pPr>
            <w:pStyle w:val="TOC1"/>
            <w:rPr>
              <w:rFonts w:asciiTheme="minorHAnsi" w:eastAsiaTheme="minorEastAsia" w:hAnsiTheme="minorHAnsi" w:cstheme="minorBidi"/>
              <w:noProof/>
              <w:color w:val="auto"/>
            </w:rPr>
          </w:pPr>
          <w:hyperlink w:anchor="_Toc515773206" w:history="1">
            <w:r w:rsidR="00C60E59" w:rsidRPr="00EF7084">
              <w:rPr>
                <w:rStyle w:val="Hyperlink"/>
                <w:rFonts w:eastAsia="Cambria"/>
                <w:b/>
                <w:noProof/>
              </w:rPr>
              <w:t>2. The</w:t>
            </w:r>
            <w:r w:rsidR="00C60E59" w:rsidRPr="00EF7084">
              <w:rPr>
                <w:rStyle w:val="Hyperlink"/>
                <w:rFonts w:eastAsia="Cambria"/>
                <w:b/>
                <w:noProof/>
                <w:lang w:eastAsia="zh-CN"/>
              </w:rPr>
              <w:t xml:space="preserve"> </w:t>
            </w:r>
            <w:r w:rsidR="00C60E59" w:rsidRPr="00EF7084">
              <w:rPr>
                <w:rStyle w:val="Hyperlink"/>
                <w:rFonts w:eastAsia="Cambria"/>
                <w:b/>
                <w:noProof/>
              </w:rPr>
              <w:t>NCMS’s impact on mortality</w:t>
            </w:r>
            <w:r w:rsidR="00C60E59">
              <w:rPr>
                <w:noProof/>
                <w:webHidden/>
              </w:rPr>
              <w:tab/>
            </w:r>
            <w:r w:rsidR="00C60E59">
              <w:rPr>
                <w:noProof/>
                <w:webHidden/>
              </w:rPr>
              <w:fldChar w:fldCharType="begin"/>
            </w:r>
            <w:r w:rsidR="00C60E59">
              <w:rPr>
                <w:noProof/>
                <w:webHidden/>
              </w:rPr>
              <w:instrText xml:space="preserve"> PAGEREF _Toc515773206 \h </w:instrText>
            </w:r>
            <w:r w:rsidR="00C60E59">
              <w:rPr>
                <w:noProof/>
                <w:webHidden/>
              </w:rPr>
            </w:r>
            <w:r w:rsidR="00C60E59">
              <w:rPr>
                <w:noProof/>
                <w:webHidden/>
              </w:rPr>
              <w:fldChar w:fldCharType="separate"/>
            </w:r>
            <w:r w:rsidR="00C60E59">
              <w:rPr>
                <w:noProof/>
                <w:webHidden/>
              </w:rPr>
              <w:t>4</w:t>
            </w:r>
            <w:r w:rsidR="00C60E59">
              <w:rPr>
                <w:noProof/>
                <w:webHidden/>
              </w:rPr>
              <w:fldChar w:fldCharType="end"/>
            </w:r>
          </w:hyperlink>
        </w:p>
        <w:p w14:paraId="2AD0AA15" w14:textId="77777777" w:rsidR="00C60E59" w:rsidRDefault="007631E7">
          <w:pPr>
            <w:pStyle w:val="TOC1"/>
            <w:rPr>
              <w:rFonts w:asciiTheme="minorHAnsi" w:eastAsiaTheme="minorEastAsia" w:hAnsiTheme="minorHAnsi" w:cstheme="minorBidi"/>
              <w:noProof/>
              <w:color w:val="auto"/>
            </w:rPr>
          </w:pPr>
          <w:hyperlink w:anchor="_Toc515773207" w:history="1">
            <w:r w:rsidR="00C60E59" w:rsidRPr="00EF7084">
              <w:rPr>
                <w:rStyle w:val="Hyperlink"/>
                <w:rFonts w:eastAsia="Cambria"/>
                <w:b/>
                <w:noProof/>
              </w:rPr>
              <w:t xml:space="preserve">3. </w:t>
            </w:r>
            <w:r w:rsidR="00C60E59" w:rsidRPr="00EF7084">
              <w:rPr>
                <w:rStyle w:val="Hyperlink"/>
                <w:rFonts w:eastAsia="Cambria"/>
                <w:b/>
                <w:noProof/>
                <w:lang w:eastAsia="zh-CN"/>
              </w:rPr>
              <w:t>T</w:t>
            </w:r>
            <w:r w:rsidR="00C60E59" w:rsidRPr="00EF7084">
              <w:rPr>
                <w:rStyle w:val="Hyperlink"/>
                <w:rFonts w:eastAsia="Cambria"/>
                <w:b/>
                <w:noProof/>
              </w:rPr>
              <w:t>h</w:t>
            </w:r>
            <w:r w:rsidR="00C60E59" w:rsidRPr="00EF7084">
              <w:rPr>
                <w:rStyle w:val="Hyperlink"/>
                <w:rFonts w:eastAsia="Cambria"/>
                <w:b/>
                <w:noProof/>
                <w:lang w:eastAsia="zh-CN"/>
              </w:rPr>
              <w:t>e incidence</w:t>
            </w:r>
            <w:r w:rsidR="00C60E59" w:rsidRPr="00EF7084">
              <w:rPr>
                <w:rStyle w:val="Hyperlink"/>
                <w:rFonts w:eastAsia="Cambria"/>
                <w:b/>
                <w:noProof/>
              </w:rPr>
              <w:t xml:space="preserve"> of being hypertensive</w:t>
            </w:r>
            <w:r w:rsidR="00C60E59">
              <w:rPr>
                <w:noProof/>
                <w:webHidden/>
              </w:rPr>
              <w:tab/>
            </w:r>
            <w:r w:rsidR="00C60E59">
              <w:rPr>
                <w:noProof/>
                <w:webHidden/>
              </w:rPr>
              <w:fldChar w:fldCharType="begin"/>
            </w:r>
            <w:r w:rsidR="00C60E59">
              <w:rPr>
                <w:noProof/>
                <w:webHidden/>
              </w:rPr>
              <w:instrText xml:space="preserve"> PAGEREF _Toc515773207 \h </w:instrText>
            </w:r>
            <w:r w:rsidR="00C60E59">
              <w:rPr>
                <w:noProof/>
                <w:webHidden/>
              </w:rPr>
            </w:r>
            <w:r w:rsidR="00C60E59">
              <w:rPr>
                <w:noProof/>
                <w:webHidden/>
              </w:rPr>
              <w:fldChar w:fldCharType="separate"/>
            </w:r>
            <w:r w:rsidR="00C60E59">
              <w:rPr>
                <w:noProof/>
                <w:webHidden/>
              </w:rPr>
              <w:t>5</w:t>
            </w:r>
            <w:r w:rsidR="00C60E59">
              <w:rPr>
                <w:noProof/>
                <w:webHidden/>
              </w:rPr>
              <w:fldChar w:fldCharType="end"/>
            </w:r>
          </w:hyperlink>
        </w:p>
        <w:p w14:paraId="2219B63B" w14:textId="77777777" w:rsidR="00C60E59" w:rsidRDefault="007631E7">
          <w:pPr>
            <w:pStyle w:val="TOC1"/>
            <w:rPr>
              <w:rFonts w:asciiTheme="minorHAnsi" w:eastAsiaTheme="minorEastAsia" w:hAnsiTheme="minorHAnsi" w:cstheme="minorBidi"/>
              <w:noProof/>
              <w:color w:val="auto"/>
            </w:rPr>
          </w:pPr>
          <w:hyperlink w:anchor="_Toc515773208" w:history="1">
            <w:r w:rsidR="00C60E59" w:rsidRPr="00EF7084">
              <w:rPr>
                <w:rStyle w:val="Hyperlink"/>
                <w:rFonts w:eastAsia="Cambria"/>
                <w:b/>
                <w:noProof/>
              </w:rPr>
              <w:t xml:space="preserve">4. </w:t>
            </w:r>
            <w:r w:rsidR="00C60E59" w:rsidRPr="00EF7084">
              <w:rPr>
                <w:rStyle w:val="Hyperlink"/>
                <w:rFonts w:eastAsia="Cambria"/>
                <w:b/>
                <w:noProof/>
                <w:lang w:eastAsia="zh-CN"/>
              </w:rPr>
              <w:t>T</w:t>
            </w:r>
            <w:r w:rsidR="00C60E59" w:rsidRPr="00EF7084">
              <w:rPr>
                <w:rStyle w:val="Hyperlink"/>
                <w:rFonts w:eastAsia="Cambria"/>
                <w:b/>
                <w:noProof/>
              </w:rPr>
              <w:t>he estimation of total health expenditure per rural resident by provincial region</w:t>
            </w:r>
            <w:r w:rsidR="00C60E59">
              <w:rPr>
                <w:noProof/>
                <w:webHidden/>
              </w:rPr>
              <w:tab/>
            </w:r>
            <w:r w:rsidR="00C60E59">
              <w:rPr>
                <w:noProof/>
                <w:webHidden/>
              </w:rPr>
              <w:fldChar w:fldCharType="begin"/>
            </w:r>
            <w:r w:rsidR="00C60E59">
              <w:rPr>
                <w:noProof/>
                <w:webHidden/>
              </w:rPr>
              <w:instrText xml:space="preserve"> PAGEREF _Toc515773208 \h </w:instrText>
            </w:r>
            <w:r w:rsidR="00C60E59">
              <w:rPr>
                <w:noProof/>
                <w:webHidden/>
              </w:rPr>
            </w:r>
            <w:r w:rsidR="00C60E59">
              <w:rPr>
                <w:noProof/>
                <w:webHidden/>
              </w:rPr>
              <w:fldChar w:fldCharType="separate"/>
            </w:r>
            <w:r w:rsidR="00C60E59">
              <w:rPr>
                <w:noProof/>
                <w:webHidden/>
              </w:rPr>
              <w:t>6</w:t>
            </w:r>
            <w:r w:rsidR="00C60E59">
              <w:rPr>
                <w:noProof/>
                <w:webHidden/>
              </w:rPr>
              <w:fldChar w:fldCharType="end"/>
            </w:r>
          </w:hyperlink>
        </w:p>
        <w:p w14:paraId="4F70BDAA" w14:textId="77777777" w:rsidR="00C60E59" w:rsidRDefault="007631E7">
          <w:pPr>
            <w:pStyle w:val="TOC1"/>
            <w:rPr>
              <w:rFonts w:asciiTheme="minorHAnsi" w:eastAsiaTheme="minorEastAsia" w:hAnsiTheme="minorHAnsi" w:cstheme="minorBidi"/>
              <w:noProof/>
              <w:color w:val="auto"/>
            </w:rPr>
          </w:pPr>
          <w:hyperlink w:anchor="_Toc515773209" w:history="1">
            <w:r w:rsidR="00C60E59" w:rsidRPr="00EF7084">
              <w:rPr>
                <w:rStyle w:val="Hyperlink"/>
                <w:rFonts w:eastAsia="Cambria"/>
                <w:b/>
                <w:noProof/>
                <w:lang w:eastAsia="zh-CN"/>
              </w:rPr>
              <w:t>5</w:t>
            </w:r>
            <w:r w:rsidR="00C60E59" w:rsidRPr="00EF7084">
              <w:rPr>
                <w:rStyle w:val="Hyperlink"/>
                <w:rFonts w:eastAsia="Cambria"/>
                <w:b/>
                <w:noProof/>
              </w:rPr>
              <w:t xml:space="preserve">. </w:t>
            </w:r>
            <w:r w:rsidR="00C60E59" w:rsidRPr="00EF7084">
              <w:rPr>
                <w:rStyle w:val="Hyperlink"/>
                <w:rFonts w:eastAsia="Cambria"/>
                <w:b/>
                <w:noProof/>
                <w:lang w:eastAsia="zh-CN"/>
              </w:rPr>
              <w:t>The NCMS’s effect on labor force participation</w:t>
            </w:r>
            <w:r w:rsidR="00C60E59">
              <w:rPr>
                <w:noProof/>
                <w:webHidden/>
              </w:rPr>
              <w:tab/>
            </w:r>
            <w:r w:rsidR="00C60E59">
              <w:rPr>
                <w:noProof/>
                <w:webHidden/>
              </w:rPr>
              <w:fldChar w:fldCharType="begin"/>
            </w:r>
            <w:r w:rsidR="00C60E59">
              <w:rPr>
                <w:noProof/>
                <w:webHidden/>
              </w:rPr>
              <w:instrText xml:space="preserve"> PAGEREF _Toc515773209 \h </w:instrText>
            </w:r>
            <w:r w:rsidR="00C60E59">
              <w:rPr>
                <w:noProof/>
                <w:webHidden/>
              </w:rPr>
            </w:r>
            <w:r w:rsidR="00C60E59">
              <w:rPr>
                <w:noProof/>
                <w:webHidden/>
              </w:rPr>
              <w:fldChar w:fldCharType="separate"/>
            </w:r>
            <w:r w:rsidR="00C60E59">
              <w:rPr>
                <w:noProof/>
                <w:webHidden/>
              </w:rPr>
              <w:t>10</w:t>
            </w:r>
            <w:r w:rsidR="00C60E59">
              <w:rPr>
                <w:noProof/>
                <w:webHidden/>
              </w:rPr>
              <w:fldChar w:fldCharType="end"/>
            </w:r>
          </w:hyperlink>
        </w:p>
        <w:p w14:paraId="3329007F" w14:textId="77777777" w:rsidR="00C60E59" w:rsidRDefault="007631E7">
          <w:pPr>
            <w:pStyle w:val="TOC1"/>
            <w:rPr>
              <w:rFonts w:asciiTheme="minorHAnsi" w:eastAsiaTheme="minorEastAsia" w:hAnsiTheme="minorHAnsi" w:cstheme="minorBidi"/>
              <w:noProof/>
              <w:color w:val="auto"/>
            </w:rPr>
          </w:pPr>
          <w:hyperlink w:anchor="_Toc515773210" w:history="1">
            <w:r w:rsidR="00C60E59" w:rsidRPr="00EF7084">
              <w:rPr>
                <w:rStyle w:val="Hyperlink"/>
                <w:rFonts w:eastAsia="Cambria"/>
                <w:b/>
                <w:noProof/>
                <w:lang w:eastAsia="zh-CN"/>
              </w:rPr>
              <w:t>6</w:t>
            </w:r>
            <w:r w:rsidR="00C60E59" w:rsidRPr="00EF7084">
              <w:rPr>
                <w:rStyle w:val="Hyperlink"/>
                <w:rFonts w:eastAsia="Cambria"/>
                <w:b/>
                <w:noProof/>
              </w:rPr>
              <w:t>. Supporting information on the cost-effectiveness analysis</w:t>
            </w:r>
            <w:r w:rsidR="00C60E59">
              <w:rPr>
                <w:noProof/>
                <w:webHidden/>
              </w:rPr>
              <w:tab/>
            </w:r>
            <w:r w:rsidR="00C60E59">
              <w:rPr>
                <w:noProof/>
                <w:webHidden/>
              </w:rPr>
              <w:fldChar w:fldCharType="begin"/>
            </w:r>
            <w:r w:rsidR="00C60E59">
              <w:rPr>
                <w:noProof/>
                <w:webHidden/>
              </w:rPr>
              <w:instrText xml:space="preserve"> PAGEREF _Toc515773210 \h </w:instrText>
            </w:r>
            <w:r w:rsidR="00C60E59">
              <w:rPr>
                <w:noProof/>
                <w:webHidden/>
              </w:rPr>
            </w:r>
            <w:r w:rsidR="00C60E59">
              <w:rPr>
                <w:noProof/>
                <w:webHidden/>
              </w:rPr>
              <w:fldChar w:fldCharType="separate"/>
            </w:r>
            <w:r w:rsidR="00C60E59">
              <w:rPr>
                <w:noProof/>
                <w:webHidden/>
              </w:rPr>
              <w:t>12</w:t>
            </w:r>
            <w:r w:rsidR="00C60E59">
              <w:rPr>
                <w:noProof/>
                <w:webHidden/>
              </w:rPr>
              <w:fldChar w:fldCharType="end"/>
            </w:r>
          </w:hyperlink>
        </w:p>
        <w:p w14:paraId="4704C487" w14:textId="77777777" w:rsidR="00C60E59" w:rsidRDefault="007631E7">
          <w:pPr>
            <w:pStyle w:val="TOC2"/>
            <w:tabs>
              <w:tab w:val="right" w:pos="12950"/>
            </w:tabs>
            <w:rPr>
              <w:rFonts w:asciiTheme="minorHAnsi" w:eastAsiaTheme="minorEastAsia" w:hAnsiTheme="minorHAnsi" w:cstheme="minorBidi"/>
              <w:noProof/>
              <w:color w:val="auto"/>
            </w:rPr>
          </w:pPr>
          <w:hyperlink w:anchor="_Toc515773211" w:history="1">
            <w:r w:rsidR="00C60E59" w:rsidRPr="00EF7084">
              <w:rPr>
                <w:rStyle w:val="Hyperlink"/>
                <w:rFonts w:eastAsia="Cambria"/>
                <w:noProof/>
                <w:lang w:eastAsia="zh-CN"/>
              </w:rPr>
              <w:t>6.1 Results of probabilistic sensitivity analysis</w:t>
            </w:r>
            <w:r w:rsidR="00C60E59">
              <w:rPr>
                <w:noProof/>
                <w:webHidden/>
              </w:rPr>
              <w:tab/>
            </w:r>
            <w:r w:rsidR="00C60E59">
              <w:rPr>
                <w:noProof/>
                <w:webHidden/>
              </w:rPr>
              <w:fldChar w:fldCharType="begin"/>
            </w:r>
            <w:r w:rsidR="00C60E59">
              <w:rPr>
                <w:noProof/>
                <w:webHidden/>
              </w:rPr>
              <w:instrText xml:space="preserve"> PAGEREF _Toc515773211 \h </w:instrText>
            </w:r>
            <w:r w:rsidR="00C60E59">
              <w:rPr>
                <w:noProof/>
                <w:webHidden/>
              </w:rPr>
            </w:r>
            <w:r w:rsidR="00C60E59">
              <w:rPr>
                <w:noProof/>
                <w:webHidden/>
              </w:rPr>
              <w:fldChar w:fldCharType="separate"/>
            </w:r>
            <w:r w:rsidR="00C60E59">
              <w:rPr>
                <w:noProof/>
                <w:webHidden/>
              </w:rPr>
              <w:t>12</w:t>
            </w:r>
            <w:r w:rsidR="00C60E59">
              <w:rPr>
                <w:noProof/>
                <w:webHidden/>
              </w:rPr>
              <w:fldChar w:fldCharType="end"/>
            </w:r>
          </w:hyperlink>
        </w:p>
        <w:p w14:paraId="1CF45852" w14:textId="77777777" w:rsidR="00C60E59" w:rsidRDefault="007631E7">
          <w:pPr>
            <w:pStyle w:val="TOC2"/>
            <w:tabs>
              <w:tab w:val="right" w:pos="12950"/>
            </w:tabs>
            <w:rPr>
              <w:rFonts w:asciiTheme="minorHAnsi" w:eastAsiaTheme="minorEastAsia" w:hAnsiTheme="minorHAnsi" w:cstheme="minorBidi"/>
              <w:noProof/>
              <w:color w:val="auto"/>
            </w:rPr>
          </w:pPr>
          <w:hyperlink w:anchor="_Toc515773212" w:history="1">
            <w:r w:rsidR="00C60E59" w:rsidRPr="00EF7084">
              <w:rPr>
                <w:rStyle w:val="Hyperlink"/>
                <w:rFonts w:eastAsia="Cambria"/>
                <w:noProof/>
                <w:lang w:eastAsia="zh-CN"/>
              </w:rPr>
              <w:t>6</w:t>
            </w:r>
            <w:r w:rsidR="00C60E59" w:rsidRPr="00EF7084">
              <w:rPr>
                <w:rStyle w:val="Hyperlink"/>
                <w:rFonts w:eastAsia="Cambria"/>
                <w:noProof/>
              </w:rPr>
              <w:t>.</w:t>
            </w:r>
            <w:r w:rsidR="00C60E59" w:rsidRPr="00EF7084">
              <w:rPr>
                <w:rStyle w:val="Hyperlink"/>
                <w:rFonts w:eastAsia="Cambria"/>
                <w:noProof/>
                <w:lang w:eastAsia="zh-CN"/>
              </w:rPr>
              <w:t>2</w:t>
            </w:r>
            <w:r w:rsidR="00C60E59" w:rsidRPr="00EF7084">
              <w:rPr>
                <w:rStyle w:val="Hyperlink"/>
                <w:rFonts w:eastAsia="Cambria"/>
                <w:noProof/>
              </w:rPr>
              <w:t xml:space="preserve"> Incremental cost-effectiveness scatterplot report</w:t>
            </w:r>
            <w:r w:rsidR="00C60E59">
              <w:rPr>
                <w:noProof/>
                <w:webHidden/>
              </w:rPr>
              <w:tab/>
            </w:r>
            <w:r w:rsidR="00C60E59">
              <w:rPr>
                <w:noProof/>
                <w:webHidden/>
              </w:rPr>
              <w:fldChar w:fldCharType="begin"/>
            </w:r>
            <w:r w:rsidR="00C60E59">
              <w:rPr>
                <w:noProof/>
                <w:webHidden/>
              </w:rPr>
              <w:instrText xml:space="preserve"> PAGEREF _Toc515773212 \h </w:instrText>
            </w:r>
            <w:r w:rsidR="00C60E59">
              <w:rPr>
                <w:noProof/>
                <w:webHidden/>
              </w:rPr>
            </w:r>
            <w:r w:rsidR="00C60E59">
              <w:rPr>
                <w:noProof/>
                <w:webHidden/>
              </w:rPr>
              <w:fldChar w:fldCharType="separate"/>
            </w:r>
            <w:r w:rsidR="00C60E59">
              <w:rPr>
                <w:noProof/>
                <w:webHidden/>
              </w:rPr>
              <w:t>13</w:t>
            </w:r>
            <w:r w:rsidR="00C60E59">
              <w:rPr>
                <w:noProof/>
                <w:webHidden/>
              </w:rPr>
              <w:fldChar w:fldCharType="end"/>
            </w:r>
          </w:hyperlink>
        </w:p>
        <w:p w14:paraId="64ECFD21" w14:textId="77777777" w:rsidR="00C60E59" w:rsidRDefault="007631E7">
          <w:pPr>
            <w:pStyle w:val="TOC2"/>
            <w:tabs>
              <w:tab w:val="right" w:pos="12950"/>
            </w:tabs>
            <w:rPr>
              <w:rFonts w:asciiTheme="minorHAnsi" w:eastAsiaTheme="minorEastAsia" w:hAnsiTheme="minorHAnsi" w:cstheme="minorBidi"/>
              <w:noProof/>
              <w:color w:val="auto"/>
            </w:rPr>
          </w:pPr>
          <w:hyperlink w:anchor="_Toc515773213" w:history="1">
            <w:r w:rsidR="00C60E59" w:rsidRPr="00EF7084">
              <w:rPr>
                <w:rStyle w:val="Hyperlink"/>
                <w:rFonts w:eastAsia="Cambria"/>
                <w:noProof/>
                <w:lang w:eastAsia="zh-CN"/>
              </w:rPr>
              <w:t>6</w:t>
            </w:r>
            <w:r w:rsidR="00C60E59" w:rsidRPr="00EF7084">
              <w:rPr>
                <w:rStyle w:val="Hyperlink"/>
                <w:rFonts w:eastAsia="Cambria"/>
                <w:noProof/>
              </w:rPr>
              <w:t>.</w:t>
            </w:r>
            <w:r w:rsidR="00C60E59" w:rsidRPr="00EF7084">
              <w:rPr>
                <w:rStyle w:val="Hyperlink"/>
                <w:rFonts w:eastAsia="Cambria"/>
                <w:noProof/>
                <w:lang w:eastAsia="zh-CN"/>
              </w:rPr>
              <w:t>3</w:t>
            </w:r>
            <w:r w:rsidR="00C60E59" w:rsidRPr="00EF7084">
              <w:rPr>
                <w:rStyle w:val="Hyperlink"/>
                <w:rFonts w:eastAsia="Cambria"/>
                <w:noProof/>
              </w:rPr>
              <w:t xml:space="preserve"> One-way sensitivity analyses</w:t>
            </w:r>
            <w:r w:rsidR="00C60E59">
              <w:rPr>
                <w:noProof/>
                <w:webHidden/>
              </w:rPr>
              <w:tab/>
            </w:r>
            <w:r w:rsidR="00C60E59">
              <w:rPr>
                <w:noProof/>
                <w:webHidden/>
              </w:rPr>
              <w:fldChar w:fldCharType="begin"/>
            </w:r>
            <w:r w:rsidR="00C60E59">
              <w:rPr>
                <w:noProof/>
                <w:webHidden/>
              </w:rPr>
              <w:instrText xml:space="preserve"> PAGEREF _Toc515773213 \h </w:instrText>
            </w:r>
            <w:r w:rsidR="00C60E59">
              <w:rPr>
                <w:noProof/>
                <w:webHidden/>
              </w:rPr>
            </w:r>
            <w:r w:rsidR="00C60E59">
              <w:rPr>
                <w:noProof/>
                <w:webHidden/>
              </w:rPr>
              <w:fldChar w:fldCharType="separate"/>
            </w:r>
            <w:r w:rsidR="00C60E59">
              <w:rPr>
                <w:noProof/>
                <w:webHidden/>
              </w:rPr>
              <w:t>14</w:t>
            </w:r>
            <w:r w:rsidR="00C60E59">
              <w:rPr>
                <w:noProof/>
                <w:webHidden/>
              </w:rPr>
              <w:fldChar w:fldCharType="end"/>
            </w:r>
          </w:hyperlink>
        </w:p>
        <w:p w14:paraId="72B7D5CB" w14:textId="77777777" w:rsidR="00C60E59" w:rsidRDefault="007631E7">
          <w:pPr>
            <w:pStyle w:val="TOC1"/>
            <w:rPr>
              <w:rFonts w:asciiTheme="minorHAnsi" w:eastAsiaTheme="minorEastAsia" w:hAnsiTheme="minorHAnsi" w:cstheme="minorBidi"/>
              <w:noProof/>
              <w:color w:val="auto"/>
            </w:rPr>
          </w:pPr>
          <w:hyperlink w:anchor="_Toc515773214" w:history="1">
            <w:r w:rsidR="00C60E59" w:rsidRPr="00EF7084">
              <w:rPr>
                <w:rStyle w:val="Hyperlink"/>
                <w:rFonts w:eastAsia="Cambria"/>
                <w:b/>
                <w:noProof/>
                <w:lang w:eastAsia="zh-CN"/>
              </w:rPr>
              <w:t>7</w:t>
            </w:r>
            <w:r w:rsidR="00C60E59" w:rsidRPr="00EF7084">
              <w:rPr>
                <w:rStyle w:val="Hyperlink"/>
                <w:rFonts w:eastAsia="Cambria"/>
                <w:b/>
                <w:noProof/>
              </w:rPr>
              <w:t>.</w:t>
            </w:r>
            <w:r w:rsidR="00C60E59" w:rsidRPr="00EF7084">
              <w:rPr>
                <w:rStyle w:val="Hyperlink"/>
                <w:rFonts w:eastAsia="Cambria"/>
                <w:b/>
                <w:noProof/>
                <w:lang w:eastAsia="zh-CN"/>
              </w:rPr>
              <w:t xml:space="preserve"> </w:t>
            </w:r>
            <w:r w:rsidR="00C60E59" w:rsidRPr="00EF7084">
              <w:rPr>
                <w:rStyle w:val="Hyperlink"/>
                <w:rFonts w:eastAsia="Cambria"/>
                <w:b/>
                <w:noProof/>
              </w:rPr>
              <w:t>Reference</w:t>
            </w:r>
            <w:r w:rsidR="00C60E59">
              <w:rPr>
                <w:noProof/>
                <w:webHidden/>
              </w:rPr>
              <w:tab/>
            </w:r>
            <w:r w:rsidR="00C60E59">
              <w:rPr>
                <w:noProof/>
                <w:webHidden/>
              </w:rPr>
              <w:fldChar w:fldCharType="begin"/>
            </w:r>
            <w:r w:rsidR="00C60E59">
              <w:rPr>
                <w:noProof/>
                <w:webHidden/>
              </w:rPr>
              <w:instrText xml:space="preserve"> PAGEREF _Toc515773214 \h </w:instrText>
            </w:r>
            <w:r w:rsidR="00C60E59">
              <w:rPr>
                <w:noProof/>
                <w:webHidden/>
              </w:rPr>
            </w:r>
            <w:r w:rsidR="00C60E59">
              <w:rPr>
                <w:noProof/>
                <w:webHidden/>
              </w:rPr>
              <w:fldChar w:fldCharType="separate"/>
            </w:r>
            <w:r w:rsidR="00C60E59">
              <w:rPr>
                <w:noProof/>
                <w:webHidden/>
              </w:rPr>
              <w:t>15</w:t>
            </w:r>
            <w:r w:rsidR="00C60E59">
              <w:rPr>
                <w:noProof/>
                <w:webHidden/>
              </w:rPr>
              <w:fldChar w:fldCharType="end"/>
            </w:r>
          </w:hyperlink>
        </w:p>
        <w:p w14:paraId="690B1A4D" w14:textId="77777777" w:rsidR="00170CFB" w:rsidRPr="00983855" w:rsidRDefault="000C6D32">
          <w:pPr>
            <w:tabs>
              <w:tab w:val="right" w:pos="12960"/>
            </w:tabs>
            <w:spacing w:before="200" w:after="80"/>
          </w:pPr>
          <w:r w:rsidRPr="00983855">
            <w:fldChar w:fldCharType="end"/>
          </w:r>
        </w:p>
      </w:sdtContent>
    </w:sdt>
    <w:p w14:paraId="69FCD8A8" w14:textId="70B16B6E" w:rsidR="00170CFB" w:rsidRPr="00983855" w:rsidRDefault="00855B79">
      <w:pPr>
        <w:pStyle w:val="Heading1"/>
        <w:spacing w:line="480" w:lineRule="auto"/>
        <w:rPr>
          <w:rFonts w:ascii="Cambria" w:eastAsia="Cambria" w:hAnsi="Cambria" w:cs="Cambria"/>
          <w:b/>
          <w:sz w:val="24"/>
          <w:szCs w:val="24"/>
        </w:rPr>
      </w:pPr>
      <w:bookmarkStart w:id="0" w:name="_Toc515773205"/>
      <w:r w:rsidRPr="00983855">
        <w:rPr>
          <w:rFonts w:ascii="Cambria" w:eastAsia="Cambria" w:hAnsi="Cambria" w:cs="Cambria"/>
          <w:b/>
          <w:sz w:val="24"/>
          <w:szCs w:val="24"/>
        </w:rPr>
        <w:t xml:space="preserve">1. </w:t>
      </w:r>
      <w:r w:rsidR="000C6D32" w:rsidRPr="00983855">
        <w:rPr>
          <w:rFonts w:ascii="Cambria" w:eastAsia="Cambria" w:hAnsi="Cambria" w:cs="Cambria"/>
          <w:b/>
          <w:sz w:val="24"/>
          <w:szCs w:val="24"/>
        </w:rPr>
        <w:t>2013 W</w:t>
      </w:r>
      <w:r w:rsidR="00D967BE" w:rsidRPr="00983855">
        <w:rPr>
          <w:rFonts w:ascii="Cambria" w:eastAsia="Cambria" w:hAnsi="Cambria" w:cs="Cambria" w:hint="eastAsia"/>
          <w:b/>
          <w:sz w:val="24"/>
          <w:szCs w:val="24"/>
          <w:lang w:eastAsia="zh-CN"/>
        </w:rPr>
        <w:t xml:space="preserve">orld </w:t>
      </w:r>
      <w:r w:rsidR="000C6D32" w:rsidRPr="00983855">
        <w:rPr>
          <w:rFonts w:ascii="Cambria" w:eastAsia="Cambria" w:hAnsi="Cambria" w:cs="Cambria"/>
          <w:b/>
          <w:sz w:val="24"/>
          <w:szCs w:val="24"/>
        </w:rPr>
        <w:t>H</w:t>
      </w:r>
      <w:r w:rsidR="00D967BE" w:rsidRPr="00983855">
        <w:rPr>
          <w:rFonts w:ascii="Cambria" w:eastAsia="Cambria" w:hAnsi="Cambria" w:cs="Cambria" w:hint="eastAsia"/>
          <w:b/>
          <w:sz w:val="24"/>
          <w:szCs w:val="24"/>
          <w:lang w:eastAsia="zh-CN"/>
        </w:rPr>
        <w:t xml:space="preserve">ealth </w:t>
      </w:r>
      <w:r w:rsidR="000C6D32" w:rsidRPr="00983855">
        <w:rPr>
          <w:rFonts w:ascii="Cambria" w:eastAsia="Cambria" w:hAnsi="Cambria" w:cs="Cambria"/>
          <w:b/>
          <w:sz w:val="24"/>
          <w:szCs w:val="24"/>
        </w:rPr>
        <w:t>O</w:t>
      </w:r>
      <w:r w:rsidR="00D967BE" w:rsidRPr="00983855">
        <w:rPr>
          <w:rFonts w:ascii="Cambria" w:eastAsia="Cambria" w:hAnsi="Cambria" w:cs="Cambria" w:hint="eastAsia"/>
          <w:b/>
          <w:sz w:val="24"/>
          <w:szCs w:val="24"/>
          <w:lang w:eastAsia="zh-CN"/>
        </w:rPr>
        <w:t>rganization</w:t>
      </w:r>
      <w:r w:rsidR="000C6D32" w:rsidRPr="00983855">
        <w:rPr>
          <w:rFonts w:ascii="Cambria" w:eastAsia="Cambria" w:hAnsi="Cambria" w:cs="Cambria"/>
          <w:b/>
          <w:sz w:val="24"/>
          <w:szCs w:val="24"/>
        </w:rPr>
        <w:t xml:space="preserve"> Chinese life table</w:t>
      </w:r>
      <w:bookmarkEnd w:id="0"/>
    </w:p>
    <w:p w14:paraId="24109952" w14:textId="2830CDAD" w:rsidR="00170CFB" w:rsidRPr="00983855" w:rsidRDefault="000C6D32">
      <w:pPr>
        <w:spacing w:line="480" w:lineRule="auto"/>
        <w:ind w:firstLine="720"/>
        <w:rPr>
          <w:sz w:val="36"/>
          <w:szCs w:val="36"/>
          <w:vertAlign w:val="subscript"/>
          <w:lang w:eastAsia="zh-CN"/>
        </w:rPr>
      </w:pPr>
      <w:r w:rsidRPr="00983855">
        <w:t xml:space="preserve">The World Health Organization </w:t>
      </w:r>
      <w:r w:rsidR="00D967BE" w:rsidRPr="00983855">
        <w:rPr>
          <w:rFonts w:hint="eastAsia"/>
          <w:lang w:eastAsia="zh-CN"/>
        </w:rPr>
        <w:t xml:space="preserve">(WHO) </w:t>
      </w:r>
      <w:r w:rsidRPr="00983855">
        <w:t xml:space="preserve">provided gender-specific and abridged period life table of China in 2013 </w:t>
      </w:r>
      <w:r w:rsidR="003125C6">
        <w:rPr>
          <w:rFonts w:hint="eastAsia"/>
          <w:lang w:eastAsia="zh-CN"/>
        </w:rPr>
        <w:t>[1]</w:t>
      </w:r>
      <w:r w:rsidRPr="00983855">
        <w:t>(WHO, 2015).</w:t>
      </w:r>
      <w:r w:rsidRPr="00983855">
        <w:rPr>
          <w:vertAlign w:val="superscript"/>
        </w:rPr>
        <w:t xml:space="preserve"> </w:t>
      </w:r>
      <w:r w:rsidRPr="00983855">
        <w:t xml:space="preserve">However, death intervals of the life table did not match the cycle length of the Markov model in our study. We </w:t>
      </w:r>
      <w:r w:rsidRPr="00983855">
        <w:lastRenderedPageBreak/>
        <w:t>use the estimated mortality between ages x and x+n by using sex-specific mortality from the abridged Chinese life table</w:t>
      </w:r>
      <w:r w:rsidR="002A6959">
        <w:rPr>
          <w:rFonts w:hint="eastAsia"/>
          <w:lang w:eastAsia="zh-CN"/>
        </w:rPr>
        <w:t xml:space="preserve"> </w:t>
      </w:r>
      <w:r w:rsidRPr="00983855">
        <w:t>and age-specific sex structure from the China Population and Employment Statistics Yearbook</w:t>
      </w:r>
      <w:r w:rsidR="002A6959">
        <w:rPr>
          <w:rFonts w:hint="eastAsia"/>
          <w:lang w:eastAsia="zh-CN"/>
        </w:rPr>
        <w:t xml:space="preserve"> [2]</w:t>
      </w:r>
      <w:r w:rsidRPr="00983855">
        <w:t>.</w:t>
      </w:r>
      <w:r w:rsidR="002A6959">
        <w:t xml:space="preserve"> </w:t>
      </w:r>
      <w:r w:rsidRPr="00983855">
        <w:t>For the N</w:t>
      </w:r>
      <w:r w:rsidR="00490C03">
        <w:rPr>
          <w:rFonts w:hint="eastAsia"/>
          <w:lang w:eastAsia="zh-CN"/>
        </w:rPr>
        <w:t>ew Rural Cooperative Medical Scheme (N</w:t>
      </w:r>
      <w:r w:rsidRPr="00983855">
        <w:t>CMS</w:t>
      </w:r>
      <w:r w:rsidR="00490C03">
        <w:rPr>
          <w:rFonts w:hint="eastAsia"/>
          <w:lang w:eastAsia="zh-CN"/>
        </w:rPr>
        <w:t>)</w:t>
      </w:r>
      <w:r w:rsidRPr="00983855">
        <w:t xml:space="preserve"> arm of the model, the age adjusted death rate coefficient</w:t>
      </w:r>
      <w:r w:rsidR="002A6959">
        <w:t xml:space="preserve">s estimated from Zhou, et. al. </w:t>
      </w:r>
      <w:r w:rsidR="002A6959">
        <w:rPr>
          <w:rFonts w:hint="eastAsia"/>
          <w:lang w:eastAsia="zh-CN"/>
        </w:rPr>
        <w:t xml:space="preserve">[3] </w:t>
      </w:r>
      <w:r w:rsidRPr="00983855">
        <w:t xml:space="preserve">are added to age-specific mortality rates before discounting. We excluded younger ages as Zhou’s estimates of the NCMS’s effects began at age 20. </w:t>
      </w:r>
      <w:r w:rsidR="00490C03" w:rsidRPr="00490C03">
        <w:rPr>
          <w:rFonts w:hint="eastAsia"/>
          <w:lang w:eastAsia="zh-CN"/>
        </w:rPr>
        <w:t>Table A</w:t>
      </w:r>
      <w:r w:rsidR="00490C03" w:rsidRPr="00490C03">
        <w:t xml:space="preserve"> </w:t>
      </w:r>
      <w:r w:rsidR="00490C03" w:rsidRPr="00490C03">
        <w:rPr>
          <w:rFonts w:hint="eastAsia"/>
          <w:lang w:eastAsia="zh-CN"/>
        </w:rPr>
        <w:t xml:space="preserve">shows </w:t>
      </w:r>
      <w:r w:rsidR="00490C03" w:rsidRPr="00490C03">
        <w:t>sex and age-specific mortality rates among Chinese in 2013</w:t>
      </w:r>
      <w:r w:rsidR="00490C03" w:rsidRPr="00490C03">
        <w:rPr>
          <w:rFonts w:hint="eastAsia"/>
          <w:lang w:eastAsia="zh-CN"/>
        </w:rPr>
        <w:t>.</w:t>
      </w:r>
    </w:p>
    <w:p w14:paraId="2BD6B508" w14:textId="77777777" w:rsidR="00170CFB" w:rsidRPr="00983855" w:rsidRDefault="00170CFB">
      <w:pPr>
        <w:widowControl w:val="0"/>
        <w:spacing w:line="276" w:lineRule="auto"/>
        <w:sectPr w:rsidR="00170CFB" w:rsidRPr="00983855">
          <w:footerReference w:type="even" r:id="rId8"/>
          <w:footerReference w:type="default" r:id="rId9"/>
          <w:pgSz w:w="15840" w:h="12240"/>
          <w:pgMar w:top="1800" w:right="1440" w:bottom="1800" w:left="1440" w:header="720" w:footer="720" w:gutter="0"/>
          <w:pgNumType w:start="1"/>
          <w:cols w:space="720"/>
        </w:sectPr>
      </w:pPr>
    </w:p>
    <w:p w14:paraId="66EBD05E" w14:textId="693F1375" w:rsidR="00170CFB" w:rsidRPr="00983855" w:rsidRDefault="000C6D32">
      <w:pPr>
        <w:spacing w:line="480" w:lineRule="auto"/>
        <w:rPr>
          <w:b/>
        </w:rPr>
      </w:pPr>
      <w:r w:rsidRPr="00983855">
        <w:rPr>
          <w:b/>
        </w:rPr>
        <w:lastRenderedPageBreak/>
        <w:t>Table</w:t>
      </w:r>
      <w:r w:rsidR="00610B84">
        <w:rPr>
          <w:rFonts w:hint="eastAsia"/>
          <w:b/>
          <w:lang w:eastAsia="zh-CN"/>
        </w:rPr>
        <w:t xml:space="preserve"> A</w:t>
      </w:r>
      <w:r w:rsidRPr="00983855">
        <w:rPr>
          <w:b/>
        </w:rPr>
        <w:t xml:space="preserve">. </w:t>
      </w:r>
      <w:r w:rsidR="00855B79" w:rsidRPr="00983855">
        <w:rPr>
          <w:b/>
        </w:rPr>
        <w:t>Sex and age-specific mortality</w:t>
      </w:r>
      <w:r w:rsidRPr="00983855">
        <w:rPr>
          <w:b/>
        </w:rPr>
        <w:t xml:space="preserve"> </w:t>
      </w:r>
      <w:r w:rsidR="00855B79" w:rsidRPr="00983855">
        <w:rPr>
          <w:b/>
        </w:rPr>
        <w:t xml:space="preserve">rates </w:t>
      </w:r>
      <w:r w:rsidRPr="00983855">
        <w:rPr>
          <w:b/>
        </w:rPr>
        <w:t>among Chinese in 2013</w:t>
      </w:r>
    </w:p>
    <w:tbl>
      <w:tblPr>
        <w:tblStyle w:val="a"/>
        <w:tblW w:w="9237" w:type="dxa"/>
        <w:jc w:val="center"/>
        <w:tblBorders>
          <w:top w:val="single" w:sz="18" w:space="0" w:color="000000"/>
          <w:bottom w:val="single" w:sz="18" w:space="0" w:color="000000"/>
        </w:tblBorders>
        <w:tblLayout w:type="fixed"/>
        <w:tblLook w:val="0400" w:firstRow="0" w:lastRow="0" w:firstColumn="0" w:lastColumn="0" w:noHBand="0" w:noVBand="1"/>
      </w:tblPr>
      <w:tblGrid>
        <w:gridCol w:w="1625"/>
        <w:gridCol w:w="1903"/>
        <w:gridCol w:w="1903"/>
        <w:gridCol w:w="1903"/>
        <w:gridCol w:w="1903"/>
      </w:tblGrid>
      <w:tr w:rsidR="00170CFB" w:rsidRPr="00983855" w14:paraId="0D8ED88F" w14:textId="77777777" w:rsidTr="00AF1C88">
        <w:trPr>
          <w:trHeight w:val="1500"/>
          <w:jc w:val="center"/>
        </w:trPr>
        <w:tc>
          <w:tcPr>
            <w:tcW w:w="1625" w:type="dxa"/>
            <w:tcBorders>
              <w:top w:val="single" w:sz="18" w:space="0" w:color="000000"/>
              <w:bottom w:val="nil"/>
            </w:tcBorders>
            <w:shd w:val="clear" w:color="auto" w:fill="auto"/>
            <w:vAlign w:val="bottom"/>
          </w:tcPr>
          <w:p w14:paraId="7FA58587" w14:textId="77777777" w:rsidR="00170CFB" w:rsidRPr="00983855" w:rsidRDefault="000C6D32">
            <w:pPr>
              <w:spacing w:line="480" w:lineRule="auto"/>
            </w:pPr>
            <w:r w:rsidRPr="00983855">
              <w:t> </w:t>
            </w:r>
          </w:p>
        </w:tc>
        <w:tc>
          <w:tcPr>
            <w:tcW w:w="3806" w:type="dxa"/>
            <w:gridSpan w:val="2"/>
            <w:tcBorders>
              <w:top w:val="single" w:sz="18" w:space="0" w:color="000000"/>
              <w:bottom w:val="single" w:sz="8" w:space="0" w:color="000000"/>
            </w:tcBorders>
            <w:shd w:val="clear" w:color="auto" w:fill="auto"/>
            <w:vAlign w:val="center"/>
          </w:tcPr>
          <w:p w14:paraId="0C009504" w14:textId="7EA667F7" w:rsidR="00170CFB" w:rsidRPr="00983855" w:rsidRDefault="000C6D32">
            <w:pPr>
              <w:spacing w:line="480" w:lineRule="auto"/>
              <w:jc w:val="center"/>
              <w:rPr>
                <w:b/>
              </w:rPr>
            </w:pPr>
            <w:r w:rsidRPr="00983855">
              <w:rPr>
                <w:b/>
              </w:rPr>
              <w:t xml:space="preserve">nMx - age-specific mortality between ages x and x+n </w:t>
            </w:r>
            <w:r w:rsidR="00A02DFB" w:rsidRPr="00983855">
              <w:rPr>
                <w:rFonts w:ascii="Helvetica Neue" w:eastAsia="Helvetica Neue" w:hAnsi="Helvetica Neue" w:cs="Helvetica Neue"/>
                <w:color w:val="353535"/>
              </w:rPr>
              <w:t>*</w:t>
            </w:r>
          </w:p>
        </w:tc>
        <w:tc>
          <w:tcPr>
            <w:tcW w:w="3806" w:type="dxa"/>
            <w:gridSpan w:val="2"/>
            <w:tcBorders>
              <w:top w:val="single" w:sz="18" w:space="0" w:color="000000"/>
              <w:bottom w:val="single" w:sz="8" w:space="0" w:color="000000"/>
            </w:tcBorders>
            <w:shd w:val="clear" w:color="auto" w:fill="auto"/>
            <w:vAlign w:val="center"/>
          </w:tcPr>
          <w:p w14:paraId="0D616F6E" w14:textId="77777777" w:rsidR="00170CFB" w:rsidRPr="00983855" w:rsidRDefault="000C6D32">
            <w:pPr>
              <w:spacing w:line="480" w:lineRule="auto"/>
              <w:jc w:val="center"/>
              <w:rPr>
                <w:b/>
              </w:rPr>
            </w:pPr>
            <w:r w:rsidRPr="00983855">
              <w:rPr>
                <w:b/>
              </w:rPr>
              <w:t xml:space="preserve">Age specific sex </w:t>
            </w:r>
          </w:p>
          <w:p w14:paraId="6DFC928B" w14:textId="50EF6FD5" w:rsidR="00170CFB" w:rsidRPr="00983855" w:rsidRDefault="000C6D32">
            <w:pPr>
              <w:spacing w:line="480" w:lineRule="auto"/>
              <w:jc w:val="center"/>
              <w:rPr>
                <w:b/>
              </w:rPr>
            </w:pPr>
            <w:r w:rsidRPr="00983855">
              <w:rPr>
                <w:b/>
              </w:rPr>
              <w:t xml:space="preserve">structure </w:t>
            </w:r>
            <w:r w:rsidR="00A02DFB" w:rsidRPr="00983855">
              <w:rPr>
                <w:rFonts w:ascii="Helvetica" w:hAnsi="Helvetica"/>
                <w:color w:val="353535"/>
              </w:rPr>
              <w:t>†</w:t>
            </w:r>
          </w:p>
        </w:tc>
      </w:tr>
      <w:tr w:rsidR="00170CFB" w:rsidRPr="00983855" w14:paraId="4677EDF8" w14:textId="77777777" w:rsidTr="00AF1C88">
        <w:trPr>
          <w:trHeight w:val="420"/>
          <w:jc w:val="center"/>
        </w:trPr>
        <w:tc>
          <w:tcPr>
            <w:tcW w:w="1625" w:type="dxa"/>
            <w:tcBorders>
              <w:top w:val="nil"/>
              <w:bottom w:val="single" w:sz="8" w:space="0" w:color="000000"/>
            </w:tcBorders>
            <w:shd w:val="clear" w:color="auto" w:fill="auto"/>
            <w:vAlign w:val="center"/>
          </w:tcPr>
          <w:p w14:paraId="3C169561" w14:textId="77777777" w:rsidR="00170CFB" w:rsidRPr="00983855" w:rsidRDefault="000C6D32" w:rsidP="00AF1C88">
            <w:pPr>
              <w:spacing w:line="480" w:lineRule="auto"/>
              <w:jc w:val="center"/>
              <w:rPr>
                <w:b/>
              </w:rPr>
            </w:pPr>
            <w:r w:rsidRPr="00983855">
              <w:rPr>
                <w:b/>
              </w:rPr>
              <w:t>Age</w:t>
            </w:r>
          </w:p>
        </w:tc>
        <w:tc>
          <w:tcPr>
            <w:tcW w:w="1903" w:type="dxa"/>
            <w:tcBorders>
              <w:top w:val="single" w:sz="8" w:space="0" w:color="000000"/>
              <w:bottom w:val="single" w:sz="8" w:space="0" w:color="000000"/>
            </w:tcBorders>
            <w:shd w:val="clear" w:color="auto" w:fill="auto"/>
            <w:vAlign w:val="center"/>
          </w:tcPr>
          <w:p w14:paraId="496D8341" w14:textId="77777777" w:rsidR="00170CFB" w:rsidRPr="00983855" w:rsidRDefault="000C6D32" w:rsidP="00AF1C88">
            <w:pPr>
              <w:spacing w:line="480" w:lineRule="auto"/>
              <w:jc w:val="center"/>
              <w:rPr>
                <w:b/>
              </w:rPr>
            </w:pPr>
            <w:r w:rsidRPr="00983855">
              <w:rPr>
                <w:b/>
              </w:rPr>
              <w:t>Female</w:t>
            </w:r>
          </w:p>
        </w:tc>
        <w:tc>
          <w:tcPr>
            <w:tcW w:w="1903" w:type="dxa"/>
            <w:tcBorders>
              <w:top w:val="single" w:sz="8" w:space="0" w:color="000000"/>
              <w:bottom w:val="single" w:sz="8" w:space="0" w:color="000000"/>
            </w:tcBorders>
            <w:shd w:val="clear" w:color="auto" w:fill="auto"/>
            <w:vAlign w:val="center"/>
          </w:tcPr>
          <w:p w14:paraId="0951265D" w14:textId="77777777" w:rsidR="00170CFB" w:rsidRPr="00983855" w:rsidRDefault="000C6D32" w:rsidP="00AF1C88">
            <w:pPr>
              <w:spacing w:line="480" w:lineRule="auto"/>
              <w:jc w:val="center"/>
              <w:rPr>
                <w:b/>
              </w:rPr>
            </w:pPr>
            <w:r w:rsidRPr="00983855">
              <w:rPr>
                <w:b/>
              </w:rPr>
              <w:t>Male</w:t>
            </w:r>
          </w:p>
        </w:tc>
        <w:tc>
          <w:tcPr>
            <w:tcW w:w="1903" w:type="dxa"/>
            <w:tcBorders>
              <w:top w:val="single" w:sz="8" w:space="0" w:color="000000"/>
              <w:bottom w:val="single" w:sz="8" w:space="0" w:color="000000"/>
            </w:tcBorders>
            <w:shd w:val="clear" w:color="auto" w:fill="auto"/>
            <w:vAlign w:val="center"/>
          </w:tcPr>
          <w:p w14:paraId="093977C9" w14:textId="77777777" w:rsidR="00170CFB" w:rsidRPr="00983855" w:rsidRDefault="000C6D32" w:rsidP="00AF1C88">
            <w:pPr>
              <w:spacing w:line="480" w:lineRule="auto"/>
              <w:jc w:val="center"/>
              <w:rPr>
                <w:b/>
              </w:rPr>
            </w:pPr>
            <w:r w:rsidRPr="00983855">
              <w:rPr>
                <w:b/>
              </w:rPr>
              <w:t>Female (%)</w:t>
            </w:r>
          </w:p>
        </w:tc>
        <w:tc>
          <w:tcPr>
            <w:tcW w:w="1903" w:type="dxa"/>
            <w:tcBorders>
              <w:top w:val="single" w:sz="8" w:space="0" w:color="000000"/>
              <w:bottom w:val="single" w:sz="8" w:space="0" w:color="000000"/>
            </w:tcBorders>
            <w:shd w:val="clear" w:color="auto" w:fill="auto"/>
            <w:vAlign w:val="center"/>
          </w:tcPr>
          <w:p w14:paraId="7CB4FDC2" w14:textId="77777777" w:rsidR="00170CFB" w:rsidRPr="00983855" w:rsidRDefault="000C6D32" w:rsidP="00AF1C88">
            <w:pPr>
              <w:spacing w:line="480" w:lineRule="auto"/>
              <w:jc w:val="center"/>
              <w:rPr>
                <w:b/>
              </w:rPr>
            </w:pPr>
            <w:r w:rsidRPr="00983855">
              <w:rPr>
                <w:b/>
              </w:rPr>
              <w:t>Male (%)</w:t>
            </w:r>
          </w:p>
        </w:tc>
      </w:tr>
      <w:tr w:rsidR="00170CFB" w:rsidRPr="00983855" w14:paraId="36099C68" w14:textId="77777777" w:rsidTr="00AF1C88">
        <w:trPr>
          <w:trHeight w:val="300"/>
          <w:jc w:val="center"/>
        </w:trPr>
        <w:tc>
          <w:tcPr>
            <w:tcW w:w="1625" w:type="dxa"/>
            <w:tcBorders>
              <w:top w:val="single" w:sz="8" w:space="0" w:color="000000"/>
            </w:tcBorders>
            <w:shd w:val="clear" w:color="auto" w:fill="auto"/>
          </w:tcPr>
          <w:p w14:paraId="01F10B8E" w14:textId="77777777" w:rsidR="00170CFB" w:rsidRPr="00983855" w:rsidRDefault="000C6D32">
            <w:pPr>
              <w:spacing w:line="480" w:lineRule="auto"/>
              <w:jc w:val="center"/>
            </w:pPr>
            <w:r w:rsidRPr="00983855">
              <w:t>20-24</w:t>
            </w:r>
          </w:p>
        </w:tc>
        <w:tc>
          <w:tcPr>
            <w:tcW w:w="1903" w:type="dxa"/>
            <w:tcBorders>
              <w:top w:val="single" w:sz="8" w:space="0" w:color="000000"/>
            </w:tcBorders>
            <w:shd w:val="clear" w:color="auto" w:fill="auto"/>
            <w:vAlign w:val="center"/>
          </w:tcPr>
          <w:p w14:paraId="1754EC81" w14:textId="77777777" w:rsidR="00170CFB" w:rsidRPr="00983855" w:rsidRDefault="000C6D32">
            <w:pPr>
              <w:spacing w:line="480" w:lineRule="auto"/>
              <w:jc w:val="right"/>
            </w:pPr>
            <w:r w:rsidRPr="00983855">
              <w:t>0.000533</w:t>
            </w:r>
          </w:p>
        </w:tc>
        <w:tc>
          <w:tcPr>
            <w:tcW w:w="1903" w:type="dxa"/>
            <w:tcBorders>
              <w:top w:val="single" w:sz="8" w:space="0" w:color="000000"/>
            </w:tcBorders>
            <w:shd w:val="clear" w:color="auto" w:fill="auto"/>
            <w:vAlign w:val="center"/>
          </w:tcPr>
          <w:p w14:paraId="3001C0E5" w14:textId="77777777" w:rsidR="00170CFB" w:rsidRPr="00983855" w:rsidRDefault="000C6D32">
            <w:pPr>
              <w:spacing w:line="480" w:lineRule="auto"/>
              <w:jc w:val="right"/>
            </w:pPr>
            <w:r w:rsidRPr="00983855">
              <w:t>0.000612</w:t>
            </w:r>
          </w:p>
        </w:tc>
        <w:tc>
          <w:tcPr>
            <w:tcW w:w="1903" w:type="dxa"/>
            <w:tcBorders>
              <w:top w:val="single" w:sz="8" w:space="0" w:color="000000"/>
            </w:tcBorders>
            <w:shd w:val="clear" w:color="auto" w:fill="auto"/>
            <w:vAlign w:val="center"/>
          </w:tcPr>
          <w:p w14:paraId="4E51EC3B" w14:textId="77777777" w:rsidR="00170CFB" w:rsidRPr="00983855" w:rsidRDefault="000C6D32">
            <w:pPr>
              <w:spacing w:line="480" w:lineRule="auto"/>
              <w:jc w:val="right"/>
            </w:pPr>
            <w:r w:rsidRPr="00983855">
              <w:t>0.488578955</w:t>
            </w:r>
          </w:p>
        </w:tc>
        <w:tc>
          <w:tcPr>
            <w:tcW w:w="1903" w:type="dxa"/>
            <w:tcBorders>
              <w:top w:val="single" w:sz="8" w:space="0" w:color="000000"/>
            </w:tcBorders>
            <w:shd w:val="clear" w:color="auto" w:fill="auto"/>
            <w:vAlign w:val="center"/>
          </w:tcPr>
          <w:p w14:paraId="37E06182" w14:textId="77777777" w:rsidR="00170CFB" w:rsidRPr="00983855" w:rsidRDefault="000C6D32">
            <w:pPr>
              <w:spacing w:line="480" w:lineRule="auto"/>
              <w:jc w:val="right"/>
            </w:pPr>
            <w:r w:rsidRPr="00983855">
              <w:t>0.511421045</w:t>
            </w:r>
          </w:p>
        </w:tc>
      </w:tr>
      <w:tr w:rsidR="00170CFB" w:rsidRPr="00983855" w14:paraId="0174B13A" w14:textId="77777777" w:rsidTr="00AF1C88">
        <w:trPr>
          <w:trHeight w:val="300"/>
          <w:jc w:val="center"/>
        </w:trPr>
        <w:tc>
          <w:tcPr>
            <w:tcW w:w="1625" w:type="dxa"/>
            <w:shd w:val="clear" w:color="auto" w:fill="auto"/>
          </w:tcPr>
          <w:p w14:paraId="29C21601" w14:textId="77777777" w:rsidR="00170CFB" w:rsidRPr="00983855" w:rsidRDefault="000C6D32">
            <w:pPr>
              <w:spacing w:line="480" w:lineRule="auto"/>
              <w:jc w:val="center"/>
            </w:pPr>
            <w:r w:rsidRPr="00983855">
              <w:t>25-29</w:t>
            </w:r>
          </w:p>
        </w:tc>
        <w:tc>
          <w:tcPr>
            <w:tcW w:w="1903" w:type="dxa"/>
            <w:shd w:val="clear" w:color="auto" w:fill="auto"/>
            <w:vAlign w:val="center"/>
          </w:tcPr>
          <w:p w14:paraId="15D2DE23" w14:textId="77777777" w:rsidR="00170CFB" w:rsidRPr="00983855" w:rsidRDefault="000C6D32">
            <w:pPr>
              <w:spacing w:line="480" w:lineRule="auto"/>
              <w:jc w:val="right"/>
            </w:pPr>
            <w:r w:rsidRPr="00983855">
              <w:t>0.000555</w:t>
            </w:r>
          </w:p>
        </w:tc>
        <w:tc>
          <w:tcPr>
            <w:tcW w:w="1903" w:type="dxa"/>
            <w:shd w:val="clear" w:color="auto" w:fill="auto"/>
            <w:vAlign w:val="center"/>
          </w:tcPr>
          <w:p w14:paraId="55A099EA" w14:textId="77777777" w:rsidR="00170CFB" w:rsidRPr="00983855" w:rsidRDefault="000C6D32">
            <w:pPr>
              <w:spacing w:line="480" w:lineRule="auto"/>
              <w:jc w:val="right"/>
            </w:pPr>
            <w:r w:rsidRPr="00983855">
              <w:t>0.000638</w:t>
            </w:r>
          </w:p>
        </w:tc>
        <w:tc>
          <w:tcPr>
            <w:tcW w:w="1903" w:type="dxa"/>
            <w:shd w:val="clear" w:color="auto" w:fill="auto"/>
            <w:vAlign w:val="center"/>
          </w:tcPr>
          <w:p w14:paraId="0D3D7E80" w14:textId="77777777" w:rsidR="00170CFB" w:rsidRPr="00983855" w:rsidRDefault="000C6D32">
            <w:pPr>
              <w:spacing w:line="480" w:lineRule="auto"/>
              <w:jc w:val="right"/>
            </w:pPr>
            <w:r w:rsidRPr="00983855">
              <w:t>0.496786604</w:t>
            </w:r>
          </w:p>
        </w:tc>
        <w:tc>
          <w:tcPr>
            <w:tcW w:w="1903" w:type="dxa"/>
            <w:shd w:val="clear" w:color="auto" w:fill="auto"/>
            <w:vAlign w:val="center"/>
          </w:tcPr>
          <w:p w14:paraId="0B2ABBD6" w14:textId="77777777" w:rsidR="00170CFB" w:rsidRPr="00983855" w:rsidRDefault="000C6D32">
            <w:pPr>
              <w:spacing w:line="480" w:lineRule="auto"/>
              <w:jc w:val="right"/>
            </w:pPr>
            <w:r w:rsidRPr="00983855">
              <w:t>0.503213396</w:t>
            </w:r>
          </w:p>
        </w:tc>
      </w:tr>
      <w:tr w:rsidR="00170CFB" w:rsidRPr="00983855" w14:paraId="15FB14DC" w14:textId="77777777" w:rsidTr="00AF1C88">
        <w:trPr>
          <w:trHeight w:val="300"/>
          <w:jc w:val="center"/>
        </w:trPr>
        <w:tc>
          <w:tcPr>
            <w:tcW w:w="1625" w:type="dxa"/>
            <w:shd w:val="clear" w:color="auto" w:fill="auto"/>
          </w:tcPr>
          <w:p w14:paraId="74BF9F30" w14:textId="77777777" w:rsidR="00170CFB" w:rsidRPr="00983855" w:rsidRDefault="000C6D32">
            <w:pPr>
              <w:spacing w:line="480" w:lineRule="auto"/>
              <w:jc w:val="center"/>
            </w:pPr>
            <w:r w:rsidRPr="00983855">
              <w:t>30-34</w:t>
            </w:r>
          </w:p>
        </w:tc>
        <w:tc>
          <w:tcPr>
            <w:tcW w:w="1903" w:type="dxa"/>
            <w:shd w:val="clear" w:color="auto" w:fill="auto"/>
            <w:vAlign w:val="center"/>
          </w:tcPr>
          <w:p w14:paraId="764AD937" w14:textId="77777777" w:rsidR="00170CFB" w:rsidRPr="00983855" w:rsidRDefault="000C6D32">
            <w:pPr>
              <w:spacing w:line="480" w:lineRule="auto"/>
              <w:jc w:val="right"/>
            </w:pPr>
            <w:r w:rsidRPr="00983855">
              <w:t>0.000641</w:t>
            </w:r>
          </w:p>
        </w:tc>
        <w:tc>
          <w:tcPr>
            <w:tcW w:w="1903" w:type="dxa"/>
            <w:shd w:val="clear" w:color="auto" w:fill="auto"/>
            <w:vAlign w:val="center"/>
          </w:tcPr>
          <w:p w14:paraId="307C0433" w14:textId="77777777" w:rsidR="00170CFB" w:rsidRPr="00983855" w:rsidRDefault="000C6D32">
            <w:pPr>
              <w:spacing w:line="480" w:lineRule="auto"/>
              <w:jc w:val="right"/>
            </w:pPr>
            <w:r w:rsidRPr="00983855">
              <w:t>0.000717</w:t>
            </w:r>
          </w:p>
        </w:tc>
        <w:tc>
          <w:tcPr>
            <w:tcW w:w="1903" w:type="dxa"/>
            <w:shd w:val="clear" w:color="auto" w:fill="auto"/>
            <w:vAlign w:val="center"/>
          </w:tcPr>
          <w:p w14:paraId="20B9DDB0" w14:textId="77777777" w:rsidR="00170CFB" w:rsidRPr="00983855" w:rsidRDefault="000C6D32">
            <w:pPr>
              <w:spacing w:line="480" w:lineRule="auto"/>
              <w:jc w:val="right"/>
            </w:pPr>
            <w:r w:rsidRPr="00983855">
              <w:t>0.49107506</w:t>
            </w:r>
          </w:p>
        </w:tc>
        <w:tc>
          <w:tcPr>
            <w:tcW w:w="1903" w:type="dxa"/>
            <w:shd w:val="clear" w:color="auto" w:fill="auto"/>
            <w:vAlign w:val="center"/>
          </w:tcPr>
          <w:p w14:paraId="157A7584" w14:textId="77777777" w:rsidR="00170CFB" w:rsidRPr="00983855" w:rsidRDefault="000C6D32">
            <w:pPr>
              <w:spacing w:line="480" w:lineRule="auto"/>
              <w:jc w:val="right"/>
            </w:pPr>
            <w:r w:rsidRPr="00983855">
              <w:t>0.50892494</w:t>
            </w:r>
          </w:p>
        </w:tc>
      </w:tr>
      <w:tr w:rsidR="00170CFB" w:rsidRPr="00983855" w14:paraId="4801C157" w14:textId="77777777" w:rsidTr="00AF1C88">
        <w:trPr>
          <w:trHeight w:val="300"/>
          <w:jc w:val="center"/>
        </w:trPr>
        <w:tc>
          <w:tcPr>
            <w:tcW w:w="1625" w:type="dxa"/>
            <w:shd w:val="clear" w:color="auto" w:fill="auto"/>
          </w:tcPr>
          <w:p w14:paraId="5C5BEF79" w14:textId="77777777" w:rsidR="00170CFB" w:rsidRPr="00983855" w:rsidRDefault="000C6D32">
            <w:pPr>
              <w:spacing w:line="480" w:lineRule="auto"/>
              <w:jc w:val="center"/>
            </w:pPr>
            <w:r w:rsidRPr="00983855">
              <w:t>35-39</w:t>
            </w:r>
          </w:p>
        </w:tc>
        <w:tc>
          <w:tcPr>
            <w:tcW w:w="1903" w:type="dxa"/>
            <w:shd w:val="clear" w:color="auto" w:fill="auto"/>
            <w:vAlign w:val="center"/>
          </w:tcPr>
          <w:p w14:paraId="4DFECD99" w14:textId="77777777" w:rsidR="00170CFB" w:rsidRPr="00983855" w:rsidRDefault="000C6D32">
            <w:pPr>
              <w:spacing w:line="480" w:lineRule="auto"/>
              <w:jc w:val="right"/>
            </w:pPr>
            <w:r w:rsidRPr="00983855">
              <w:t>0.000862</w:t>
            </w:r>
          </w:p>
        </w:tc>
        <w:tc>
          <w:tcPr>
            <w:tcW w:w="1903" w:type="dxa"/>
            <w:shd w:val="clear" w:color="auto" w:fill="auto"/>
            <w:vAlign w:val="center"/>
          </w:tcPr>
          <w:p w14:paraId="43223BDA" w14:textId="77777777" w:rsidR="00170CFB" w:rsidRPr="00983855" w:rsidRDefault="000C6D32">
            <w:pPr>
              <w:spacing w:line="480" w:lineRule="auto"/>
              <w:jc w:val="right"/>
            </w:pPr>
            <w:r w:rsidRPr="00983855">
              <w:t>0.000994</w:t>
            </w:r>
          </w:p>
        </w:tc>
        <w:tc>
          <w:tcPr>
            <w:tcW w:w="1903" w:type="dxa"/>
            <w:shd w:val="clear" w:color="auto" w:fill="auto"/>
            <w:vAlign w:val="center"/>
          </w:tcPr>
          <w:p w14:paraId="135EE8CC" w14:textId="77777777" w:rsidR="00170CFB" w:rsidRPr="00983855" w:rsidRDefault="000C6D32">
            <w:pPr>
              <w:spacing w:line="480" w:lineRule="auto"/>
              <w:jc w:val="right"/>
            </w:pPr>
            <w:r w:rsidRPr="00983855">
              <w:t>0.488804546</w:t>
            </w:r>
          </w:p>
        </w:tc>
        <w:tc>
          <w:tcPr>
            <w:tcW w:w="1903" w:type="dxa"/>
            <w:shd w:val="clear" w:color="auto" w:fill="auto"/>
            <w:vAlign w:val="center"/>
          </w:tcPr>
          <w:p w14:paraId="3B15A257" w14:textId="77777777" w:rsidR="00170CFB" w:rsidRPr="00983855" w:rsidRDefault="000C6D32">
            <w:pPr>
              <w:spacing w:line="480" w:lineRule="auto"/>
              <w:jc w:val="right"/>
            </w:pPr>
            <w:r w:rsidRPr="00983855">
              <w:t>0.511195454</w:t>
            </w:r>
          </w:p>
        </w:tc>
      </w:tr>
      <w:tr w:rsidR="00170CFB" w:rsidRPr="00983855" w14:paraId="625C3069" w14:textId="77777777" w:rsidTr="00AF1C88">
        <w:trPr>
          <w:trHeight w:val="300"/>
          <w:jc w:val="center"/>
        </w:trPr>
        <w:tc>
          <w:tcPr>
            <w:tcW w:w="1625" w:type="dxa"/>
            <w:shd w:val="clear" w:color="auto" w:fill="auto"/>
          </w:tcPr>
          <w:p w14:paraId="0663095D" w14:textId="77777777" w:rsidR="00170CFB" w:rsidRPr="00983855" w:rsidRDefault="000C6D32">
            <w:pPr>
              <w:spacing w:line="480" w:lineRule="auto"/>
              <w:jc w:val="center"/>
            </w:pPr>
            <w:r w:rsidRPr="00983855">
              <w:t>40-44</w:t>
            </w:r>
          </w:p>
        </w:tc>
        <w:tc>
          <w:tcPr>
            <w:tcW w:w="1903" w:type="dxa"/>
            <w:shd w:val="clear" w:color="auto" w:fill="auto"/>
            <w:vAlign w:val="center"/>
          </w:tcPr>
          <w:p w14:paraId="206AF7B3" w14:textId="77777777" w:rsidR="00170CFB" w:rsidRPr="00983855" w:rsidRDefault="000C6D32">
            <w:pPr>
              <w:spacing w:line="480" w:lineRule="auto"/>
              <w:jc w:val="right"/>
            </w:pPr>
            <w:r w:rsidRPr="00983855">
              <w:t>0.001392</w:t>
            </w:r>
          </w:p>
        </w:tc>
        <w:tc>
          <w:tcPr>
            <w:tcW w:w="1903" w:type="dxa"/>
            <w:shd w:val="clear" w:color="auto" w:fill="auto"/>
            <w:vAlign w:val="center"/>
          </w:tcPr>
          <w:p w14:paraId="42AD495F" w14:textId="77777777" w:rsidR="00170CFB" w:rsidRPr="00983855" w:rsidRDefault="000C6D32">
            <w:pPr>
              <w:spacing w:line="480" w:lineRule="auto"/>
              <w:jc w:val="right"/>
            </w:pPr>
            <w:r w:rsidRPr="00983855">
              <w:t>0.001734</w:t>
            </w:r>
          </w:p>
        </w:tc>
        <w:tc>
          <w:tcPr>
            <w:tcW w:w="1903" w:type="dxa"/>
            <w:shd w:val="clear" w:color="auto" w:fill="auto"/>
            <w:vAlign w:val="center"/>
          </w:tcPr>
          <w:p w14:paraId="0CE495F6" w14:textId="77777777" w:rsidR="00170CFB" w:rsidRPr="00983855" w:rsidRDefault="000C6D32">
            <w:pPr>
              <w:spacing w:line="480" w:lineRule="auto"/>
              <w:jc w:val="right"/>
            </w:pPr>
            <w:r w:rsidRPr="00983855">
              <w:t>0.489338157</w:t>
            </w:r>
          </w:p>
        </w:tc>
        <w:tc>
          <w:tcPr>
            <w:tcW w:w="1903" w:type="dxa"/>
            <w:shd w:val="clear" w:color="auto" w:fill="auto"/>
            <w:vAlign w:val="center"/>
          </w:tcPr>
          <w:p w14:paraId="3859A6AE" w14:textId="77777777" w:rsidR="00170CFB" w:rsidRPr="00983855" w:rsidRDefault="000C6D32">
            <w:pPr>
              <w:spacing w:line="480" w:lineRule="auto"/>
              <w:jc w:val="right"/>
            </w:pPr>
            <w:r w:rsidRPr="00983855">
              <w:t>0.510661843</w:t>
            </w:r>
          </w:p>
        </w:tc>
      </w:tr>
      <w:tr w:rsidR="00170CFB" w:rsidRPr="00983855" w14:paraId="7B0DC694" w14:textId="77777777" w:rsidTr="00AF1C88">
        <w:trPr>
          <w:trHeight w:val="300"/>
          <w:jc w:val="center"/>
        </w:trPr>
        <w:tc>
          <w:tcPr>
            <w:tcW w:w="1625" w:type="dxa"/>
            <w:shd w:val="clear" w:color="auto" w:fill="auto"/>
          </w:tcPr>
          <w:p w14:paraId="05BA05C3" w14:textId="77777777" w:rsidR="00170CFB" w:rsidRPr="00983855" w:rsidRDefault="000C6D32">
            <w:pPr>
              <w:spacing w:line="480" w:lineRule="auto"/>
              <w:jc w:val="center"/>
            </w:pPr>
            <w:r w:rsidRPr="00983855">
              <w:lastRenderedPageBreak/>
              <w:t>45-49</w:t>
            </w:r>
          </w:p>
        </w:tc>
        <w:tc>
          <w:tcPr>
            <w:tcW w:w="1903" w:type="dxa"/>
            <w:shd w:val="clear" w:color="auto" w:fill="auto"/>
            <w:vAlign w:val="center"/>
          </w:tcPr>
          <w:p w14:paraId="4C7BC69B" w14:textId="77777777" w:rsidR="00170CFB" w:rsidRPr="00983855" w:rsidRDefault="000C6D32">
            <w:pPr>
              <w:spacing w:line="480" w:lineRule="auto"/>
              <w:jc w:val="right"/>
            </w:pPr>
            <w:r w:rsidRPr="00983855">
              <w:t>0.002147</w:t>
            </w:r>
          </w:p>
        </w:tc>
        <w:tc>
          <w:tcPr>
            <w:tcW w:w="1903" w:type="dxa"/>
            <w:shd w:val="clear" w:color="auto" w:fill="auto"/>
            <w:vAlign w:val="center"/>
          </w:tcPr>
          <w:p w14:paraId="437F0E10" w14:textId="77777777" w:rsidR="00170CFB" w:rsidRPr="00983855" w:rsidRDefault="000C6D32">
            <w:pPr>
              <w:spacing w:line="480" w:lineRule="auto"/>
              <w:jc w:val="right"/>
            </w:pPr>
            <w:r w:rsidRPr="00983855">
              <w:t>0.002929</w:t>
            </w:r>
          </w:p>
        </w:tc>
        <w:tc>
          <w:tcPr>
            <w:tcW w:w="1903" w:type="dxa"/>
            <w:shd w:val="clear" w:color="auto" w:fill="auto"/>
            <w:vAlign w:val="center"/>
          </w:tcPr>
          <w:p w14:paraId="7C4B48E9" w14:textId="77777777" w:rsidR="00170CFB" w:rsidRPr="00983855" w:rsidRDefault="000C6D32">
            <w:pPr>
              <w:spacing w:line="480" w:lineRule="auto"/>
              <w:jc w:val="right"/>
            </w:pPr>
            <w:r w:rsidRPr="00983855">
              <w:t>0.490862039</w:t>
            </w:r>
          </w:p>
        </w:tc>
        <w:tc>
          <w:tcPr>
            <w:tcW w:w="1903" w:type="dxa"/>
            <w:shd w:val="clear" w:color="auto" w:fill="auto"/>
            <w:vAlign w:val="center"/>
          </w:tcPr>
          <w:p w14:paraId="6F390F53" w14:textId="77777777" w:rsidR="00170CFB" w:rsidRPr="00983855" w:rsidRDefault="000C6D32">
            <w:pPr>
              <w:spacing w:line="480" w:lineRule="auto"/>
              <w:jc w:val="right"/>
            </w:pPr>
            <w:r w:rsidRPr="00983855">
              <w:t>0.509137961</w:t>
            </w:r>
          </w:p>
        </w:tc>
      </w:tr>
      <w:tr w:rsidR="00170CFB" w:rsidRPr="00983855" w14:paraId="4B160B19" w14:textId="77777777" w:rsidTr="00AF1C88">
        <w:trPr>
          <w:trHeight w:val="300"/>
          <w:jc w:val="center"/>
        </w:trPr>
        <w:tc>
          <w:tcPr>
            <w:tcW w:w="1625" w:type="dxa"/>
            <w:shd w:val="clear" w:color="auto" w:fill="auto"/>
          </w:tcPr>
          <w:p w14:paraId="5A881D77" w14:textId="77777777" w:rsidR="00170CFB" w:rsidRPr="00983855" w:rsidRDefault="000C6D32">
            <w:pPr>
              <w:spacing w:line="480" w:lineRule="auto"/>
              <w:jc w:val="center"/>
            </w:pPr>
            <w:r w:rsidRPr="00983855">
              <w:t>50-54</w:t>
            </w:r>
          </w:p>
        </w:tc>
        <w:tc>
          <w:tcPr>
            <w:tcW w:w="1903" w:type="dxa"/>
            <w:shd w:val="clear" w:color="auto" w:fill="auto"/>
            <w:vAlign w:val="center"/>
          </w:tcPr>
          <w:p w14:paraId="32DF4841" w14:textId="77777777" w:rsidR="00170CFB" w:rsidRPr="00983855" w:rsidRDefault="000C6D32">
            <w:pPr>
              <w:spacing w:line="480" w:lineRule="auto"/>
              <w:jc w:val="right"/>
            </w:pPr>
            <w:r w:rsidRPr="00983855">
              <w:t>0.003492</w:t>
            </w:r>
          </w:p>
        </w:tc>
        <w:tc>
          <w:tcPr>
            <w:tcW w:w="1903" w:type="dxa"/>
            <w:shd w:val="clear" w:color="auto" w:fill="auto"/>
            <w:vAlign w:val="center"/>
          </w:tcPr>
          <w:p w14:paraId="3AE3C047" w14:textId="77777777" w:rsidR="00170CFB" w:rsidRPr="00983855" w:rsidRDefault="000C6D32">
            <w:pPr>
              <w:spacing w:line="480" w:lineRule="auto"/>
              <w:jc w:val="right"/>
            </w:pPr>
            <w:r w:rsidRPr="00983855">
              <w:t>0.004942</w:t>
            </w:r>
          </w:p>
        </w:tc>
        <w:tc>
          <w:tcPr>
            <w:tcW w:w="1903" w:type="dxa"/>
            <w:shd w:val="clear" w:color="auto" w:fill="auto"/>
            <w:vAlign w:val="center"/>
          </w:tcPr>
          <w:p w14:paraId="4E543564" w14:textId="77777777" w:rsidR="00170CFB" w:rsidRPr="00983855" w:rsidRDefault="000C6D32">
            <w:pPr>
              <w:spacing w:line="480" w:lineRule="auto"/>
              <w:jc w:val="right"/>
            </w:pPr>
            <w:r w:rsidRPr="00983855">
              <w:t>0.490374055</w:t>
            </w:r>
          </w:p>
        </w:tc>
        <w:tc>
          <w:tcPr>
            <w:tcW w:w="1903" w:type="dxa"/>
            <w:shd w:val="clear" w:color="auto" w:fill="auto"/>
            <w:vAlign w:val="center"/>
          </w:tcPr>
          <w:p w14:paraId="0F910FC1" w14:textId="77777777" w:rsidR="00170CFB" w:rsidRPr="00983855" w:rsidRDefault="000C6D32">
            <w:pPr>
              <w:spacing w:line="480" w:lineRule="auto"/>
              <w:jc w:val="right"/>
            </w:pPr>
            <w:r w:rsidRPr="00983855">
              <w:t>0.509625945</w:t>
            </w:r>
          </w:p>
        </w:tc>
      </w:tr>
      <w:tr w:rsidR="00170CFB" w:rsidRPr="00983855" w14:paraId="586D79B2" w14:textId="77777777" w:rsidTr="00AF1C88">
        <w:trPr>
          <w:trHeight w:val="300"/>
          <w:jc w:val="center"/>
        </w:trPr>
        <w:tc>
          <w:tcPr>
            <w:tcW w:w="1625" w:type="dxa"/>
            <w:shd w:val="clear" w:color="auto" w:fill="auto"/>
          </w:tcPr>
          <w:p w14:paraId="27B48976" w14:textId="77777777" w:rsidR="00170CFB" w:rsidRPr="00983855" w:rsidRDefault="000C6D32">
            <w:pPr>
              <w:spacing w:line="480" w:lineRule="auto"/>
              <w:jc w:val="center"/>
            </w:pPr>
            <w:r w:rsidRPr="00983855">
              <w:t>55-59</w:t>
            </w:r>
          </w:p>
        </w:tc>
        <w:tc>
          <w:tcPr>
            <w:tcW w:w="1903" w:type="dxa"/>
            <w:shd w:val="clear" w:color="auto" w:fill="auto"/>
            <w:vAlign w:val="center"/>
          </w:tcPr>
          <w:p w14:paraId="540A435D" w14:textId="77777777" w:rsidR="00170CFB" w:rsidRPr="00983855" w:rsidRDefault="000C6D32">
            <w:pPr>
              <w:spacing w:line="480" w:lineRule="auto"/>
              <w:jc w:val="right"/>
            </w:pPr>
            <w:r w:rsidRPr="00983855">
              <w:t>0.005914</w:t>
            </w:r>
          </w:p>
        </w:tc>
        <w:tc>
          <w:tcPr>
            <w:tcW w:w="1903" w:type="dxa"/>
            <w:shd w:val="clear" w:color="auto" w:fill="auto"/>
            <w:vAlign w:val="center"/>
          </w:tcPr>
          <w:p w14:paraId="28C73C46" w14:textId="77777777" w:rsidR="00170CFB" w:rsidRPr="00983855" w:rsidRDefault="000C6D32">
            <w:pPr>
              <w:spacing w:line="480" w:lineRule="auto"/>
              <w:jc w:val="right"/>
            </w:pPr>
            <w:r w:rsidRPr="00983855">
              <w:t>0.008765</w:t>
            </w:r>
          </w:p>
        </w:tc>
        <w:tc>
          <w:tcPr>
            <w:tcW w:w="1903" w:type="dxa"/>
            <w:shd w:val="clear" w:color="auto" w:fill="auto"/>
            <w:vAlign w:val="center"/>
          </w:tcPr>
          <w:p w14:paraId="7E601C12" w14:textId="77777777" w:rsidR="00170CFB" w:rsidRPr="00983855" w:rsidRDefault="000C6D32">
            <w:pPr>
              <w:spacing w:line="480" w:lineRule="auto"/>
              <w:jc w:val="right"/>
            </w:pPr>
            <w:r w:rsidRPr="00983855">
              <w:t>0.493914822</w:t>
            </w:r>
          </w:p>
        </w:tc>
        <w:tc>
          <w:tcPr>
            <w:tcW w:w="1903" w:type="dxa"/>
            <w:shd w:val="clear" w:color="auto" w:fill="auto"/>
            <w:vAlign w:val="center"/>
          </w:tcPr>
          <w:p w14:paraId="4821EC27" w14:textId="77777777" w:rsidR="00170CFB" w:rsidRPr="00983855" w:rsidRDefault="000C6D32">
            <w:pPr>
              <w:spacing w:line="480" w:lineRule="auto"/>
              <w:jc w:val="right"/>
            </w:pPr>
            <w:r w:rsidRPr="00983855">
              <w:t>0.506085178</w:t>
            </w:r>
          </w:p>
        </w:tc>
      </w:tr>
      <w:tr w:rsidR="00170CFB" w:rsidRPr="00983855" w14:paraId="7ADFCEBC" w14:textId="77777777" w:rsidTr="00AF1C88">
        <w:trPr>
          <w:trHeight w:val="300"/>
          <w:jc w:val="center"/>
        </w:trPr>
        <w:tc>
          <w:tcPr>
            <w:tcW w:w="1625" w:type="dxa"/>
            <w:shd w:val="clear" w:color="auto" w:fill="auto"/>
          </w:tcPr>
          <w:p w14:paraId="7AE28038" w14:textId="77777777" w:rsidR="00170CFB" w:rsidRPr="00983855" w:rsidRDefault="000C6D32">
            <w:pPr>
              <w:spacing w:line="480" w:lineRule="auto"/>
              <w:jc w:val="center"/>
            </w:pPr>
            <w:r w:rsidRPr="00983855">
              <w:t>60-64</w:t>
            </w:r>
          </w:p>
        </w:tc>
        <w:tc>
          <w:tcPr>
            <w:tcW w:w="1903" w:type="dxa"/>
            <w:shd w:val="clear" w:color="auto" w:fill="auto"/>
            <w:vAlign w:val="center"/>
          </w:tcPr>
          <w:p w14:paraId="5E5DED63" w14:textId="77777777" w:rsidR="00170CFB" w:rsidRPr="00983855" w:rsidRDefault="000C6D32">
            <w:pPr>
              <w:spacing w:line="480" w:lineRule="auto"/>
              <w:jc w:val="right"/>
            </w:pPr>
            <w:r w:rsidRPr="00983855">
              <w:t>0.010523</w:t>
            </w:r>
          </w:p>
        </w:tc>
        <w:tc>
          <w:tcPr>
            <w:tcW w:w="1903" w:type="dxa"/>
            <w:shd w:val="clear" w:color="auto" w:fill="auto"/>
            <w:vAlign w:val="center"/>
          </w:tcPr>
          <w:p w14:paraId="5468D158" w14:textId="77777777" w:rsidR="00170CFB" w:rsidRPr="00983855" w:rsidRDefault="000C6D32">
            <w:pPr>
              <w:spacing w:line="480" w:lineRule="auto"/>
              <w:jc w:val="right"/>
            </w:pPr>
            <w:r w:rsidRPr="00983855">
              <w:t>0.015251</w:t>
            </w:r>
          </w:p>
        </w:tc>
        <w:tc>
          <w:tcPr>
            <w:tcW w:w="1903" w:type="dxa"/>
            <w:shd w:val="clear" w:color="auto" w:fill="auto"/>
            <w:vAlign w:val="center"/>
          </w:tcPr>
          <w:p w14:paraId="543409C4" w14:textId="77777777" w:rsidR="00170CFB" w:rsidRPr="00983855" w:rsidRDefault="000C6D32">
            <w:pPr>
              <w:spacing w:line="480" w:lineRule="auto"/>
              <w:jc w:val="right"/>
            </w:pPr>
            <w:r w:rsidRPr="00983855">
              <w:t>0.496130045</w:t>
            </w:r>
          </w:p>
        </w:tc>
        <w:tc>
          <w:tcPr>
            <w:tcW w:w="1903" w:type="dxa"/>
            <w:shd w:val="clear" w:color="auto" w:fill="auto"/>
            <w:vAlign w:val="center"/>
          </w:tcPr>
          <w:p w14:paraId="6B677426" w14:textId="77777777" w:rsidR="00170CFB" w:rsidRPr="00983855" w:rsidRDefault="000C6D32">
            <w:pPr>
              <w:spacing w:line="480" w:lineRule="auto"/>
              <w:jc w:val="right"/>
            </w:pPr>
            <w:r w:rsidRPr="00983855">
              <w:t>0.503869955</w:t>
            </w:r>
          </w:p>
        </w:tc>
      </w:tr>
      <w:tr w:rsidR="00170CFB" w:rsidRPr="00983855" w14:paraId="36BDD6BC" w14:textId="77777777" w:rsidTr="00AF1C88">
        <w:trPr>
          <w:trHeight w:val="300"/>
          <w:jc w:val="center"/>
        </w:trPr>
        <w:tc>
          <w:tcPr>
            <w:tcW w:w="1625" w:type="dxa"/>
            <w:shd w:val="clear" w:color="auto" w:fill="auto"/>
          </w:tcPr>
          <w:p w14:paraId="770B0917" w14:textId="77777777" w:rsidR="00170CFB" w:rsidRPr="00983855" w:rsidRDefault="000C6D32">
            <w:pPr>
              <w:spacing w:line="480" w:lineRule="auto"/>
              <w:jc w:val="center"/>
            </w:pPr>
            <w:r w:rsidRPr="00983855">
              <w:t>65-69</w:t>
            </w:r>
          </w:p>
        </w:tc>
        <w:tc>
          <w:tcPr>
            <w:tcW w:w="1903" w:type="dxa"/>
            <w:shd w:val="clear" w:color="auto" w:fill="auto"/>
            <w:vAlign w:val="center"/>
          </w:tcPr>
          <w:p w14:paraId="7D68AEDD" w14:textId="77777777" w:rsidR="00170CFB" w:rsidRPr="00983855" w:rsidRDefault="000C6D32">
            <w:pPr>
              <w:spacing w:line="480" w:lineRule="auto"/>
              <w:jc w:val="right"/>
            </w:pPr>
            <w:r w:rsidRPr="00983855">
              <w:t>0.018523</w:t>
            </w:r>
          </w:p>
        </w:tc>
        <w:tc>
          <w:tcPr>
            <w:tcW w:w="1903" w:type="dxa"/>
            <w:shd w:val="clear" w:color="auto" w:fill="auto"/>
            <w:vAlign w:val="center"/>
          </w:tcPr>
          <w:p w14:paraId="340949B3" w14:textId="77777777" w:rsidR="00170CFB" w:rsidRPr="00983855" w:rsidRDefault="000C6D32">
            <w:pPr>
              <w:spacing w:line="480" w:lineRule="auto"/>
              <w:jc w:val="right"/>
            </w:pPr>
            <w:r w:rsidRPr="00983855">
              <w:t>0.026098</w:t>
            </w:r>
          </w:p>
        </w:tc>
        <w:tc>
          <w:tcPr>
            <w:tcW w:w="1903" w:type="dxa"/>
            <w:shd w:val="clear" w:color="auto" w:fill="auto"/>
            <w:vAlign w:val="center"/>
          </w:tcPr>
          <w:p w14:paraId="635D23C7" w14:textId="77777777" w:rsidR="00170CFB" w:rsidRPr="00983855" w:rsidRDefault="000C6D32">
            <w:pPr>
              <w:spacing w:line="480" w:lineRule="auto"/>
              <w:jc w:val="right"/>
            </w:pPr>
            <w:r w:rsidRPr="00983855">
              <w:t>0.501636552</w:t>
            </w:r>
          </w:p>
        </w:tc>
        <w:tc>
          <w:tcPr>
            <w:tcW w:w="1903" w:type="dxa"/>
            <w:shd w:val="clear" w:color="auto" w:fill="auto"/>
            <w:vAlign w:val="center"/>
          </w:tcPr>
          <w:p w14:paraId="07327BA3" w14:textId="77777777" w:rsidR="00170CFB" w:rsidRPr="00983855" w:rsidRDefault="000C6D32">
            <w:pPr>
              <w:spacing w:line="480" w:lineRule="auto"/>
              <w:jc w:val="right"/>
            </w:pPr>
            <w:r w:rsidRPr="00983855">
              <w:t>0.498363448</w:t>
            </w:r>
          </w:p>
        </w:tc>
      </w:tr>
      <w:tr w:rsidR="00170CFB" w:rsidRPr="00983855" w14:paraId="61AFAF0C" w14:textId="77777777" w:rsidTr="00AF1C88">
        <w:trPr>
          <w:trHeight w:val="300"/>
          <w:jc w:val="center"/>
        </w:trPr>
        <w:tc>
          <w:tcPr>
            <w:tcW w:w="1625" w:type="dxa"/>
            <w:shd w:val="clear" w:color="auto" w:fill="auto"/>
          </w:tcPr>
          <w:p w14:paraId="2BE3BED1" w14:textId="77777777" w:rsidR="00170CFB" w:rsidRPr="00983855" w:rsidRDefault="000C6D32">
            <w:pPr>
              <w:spacing w:line="480" w:lineRule="auto"/>
              <w:jc w:val="center"/>
            </w:pPr>
            <w:r w:rsidRPr="00983855">
              <w:t>70-74</w:t>
            </w:r>
          </w:p>
        </w:tc>
        <w:tc>
          <w:tcPr>
            <w:tcW w:w="1903" w:type="dxa"/>
            <w:shd w:val="clear" w:color="auto" w:fill="auto"/>
            <w:vAlign w:val="center"/>
          </w:tcPr>
          <w:p w14:paraId="5B1C2D91" w14:textId="77777777" w:rsidR="00170CFB" w:rsidRPr="00983855" w:rsidRDefault="000C6D32">
            <w:pPr>
              <w:spacing w:line="480" w:lineRule="auto"/>
              <w:jc w:val="right"/>
            </w:pPr>
            <w:r w:rsidRPr="00983855">
              <w:t>0.032223</w:t>
            </w:r>
          </w:p>
        </w:tc>
        <w:tc>
          <w:tcPr>
            <w:tcW w:w="1903" w:type="dxa"/>
            <w:shd w:val="clear" w:color="auto" w:fill="auto"/>
            <w:vAlign w:val="center"/>
          </w:tcPr>
          <w:p w14:paraId="630D051E" w14:textId="77777777" w:rsidR="00170CFB" w:rsidRPr="00983855" w:rsidRDefault="000C6D32">
            <w:pPr>
              <w:spacing w:line="480" w:lineRule="auto"/>
              <w:jc w:val="right"/>
            </w:pPr>
            <w:r w:rsidRPr="00983855">
              <w:t>0.043912</w:t>
            </w:r>
          </w:p>
        </w:tc>
        <w:tc>
          <w:tcPr>
            <w:tcW w:w="1903" w:type="dxa"/>
            <w:shd w:val="clear" w:color="auto" w:fill="auto"/>
            <w:vAlign w:val="center"/>
          </w:tcPr>
          <w:p w14:paraId="058A29E4" w14:textId="77777777" w:rsidR="00170CFB" w:rsidRPr="00983855" w:rsidRDefault="000C6D32">
            <w:pPr>
              <w:spacing w:line="480" w:lineRule="auto"/>
              <w:jc w:val="right"/>
            </w:pPr>
            <w:r w:rsidRPr="00983855">
              <w:t>0.504304694</w:t>
            </w:r>
          </w:p>
        </w:tc>
        <w:tc>
          <w:tcPr>
            <w:tcW w:w="1903" w:type="dxa"/>
            <w:shd w:val="clear" w:color="auto" w:fill="auto"/>
            <w:vAlign w:val="center"/>
          </w:tcPr>
          <w:p w14:paraId="2075C913" w14:textId="77777777" w:rsidR="00170CFB" w:rsidRPr="00983855" w:rsidRDefault="000C6D32">
            <w:pPr>
              <w:spacing w:line="480" w:lineRule="auto"/>
              <w:jc w:val="right"/>
            </w:pPr>
            <w:r w:rsidRPr="00983855">
              <w:t>0.495695306</w:t>
            </w:r>
          </w:p>
        </w:tc>
      </w:tr>
      <w:tr w:rsidR="00170CFB" w:rsidRPr="00983855" w14:paraId="139547E3" w14:textId="77777777" w:rsidTr="00AF1C88">
        <w:trPr>
          <w:trHeight w:val="300"/>
          <w:jc w:val="center"/>
        </w:trPr>
        <w:tc>
          <w:tcPr>
            <w:tcW w:w="1625" w:type="dxa"/>
            <w:shd w:val="clear" w:color="auto" w:fill="auto"/>
          </w:tcPr>
          <w:p w14:paraId="2BDB54B3" w14:textId="77777777" w:rsidR="00170CFB" w:rsidRPr="00983855" w:rsidRDefault="000C6D32">
            <w:pPr>
              <w:spacing w:line="480" w:lineRule="auto"/>
              <w:jc w:val="center"/>
            </w:pPr>
            <w:r w:rsidRPr="00983855">
              <w:t>75-79</w:t>
            </w:r>
          </w:p>
        </w:tc>
        <w:tc>
          <w:tcPr>
            <w:tcW w:w="1903" w:type="dxa"/>
            <w:shd w:val="clear" w:color="auto" w:fill="auto"/>
            <w:vAlign w:val="center"/>
          </w:tcPr>
          <w:p w14:paraId="184D1BBD" w14:textId="77777777" w:rsidR="00170CFB" w:rsidRPr="00983855" w:rsidRDefault="000C6D32">
            <w:pPr>
              <w:spacing w:line="480" w:lineRule="auto"/>
              <w:jc w:val="right"/>
            </w:pPr>
            <w:r w:rsidRPr="00983855">
              <w:t>0.055159</w:t>
            </w:r>
          </w:p>
        </w:tc>
        <w:tc>
          <w:tcPr>
            <w:tcW w:w="1903" w:type="dxa"/>
            <w:shd w:val="clear" w:color="auto" w:fill="auto"/>
            <w:vAlign w:val="center"/>
          </w:tcPr>
          <w:p w14:paraId="612DEACA" w14:textId="77777777" w:rsidR="00170CFB" w:rsidRPr="00983855" w:rsidRDefault="000C6D32">
            <w:pPr>
              <w:spacing w:line="480" w:lineRule="auto"/>
              <w:jc w:val="right"/>
            </w:pPr>
            <w:r w:rsidRPr="00983855">
              <w:t>0.072022</w:t>
            </w:r>
          </w:p>
        </w:tc>
        <w:tc>
          <w:tcPr>
            <w:tcW w:w="1903" w:type="dxa"/>
            <w:shd w:val="clear" w:color="auto" w:fill="auto"/>
            <w:vAlign w:val="center"/>
          </w:tcPr>
          <w:p w14:paraId="39952C03" w14:textId="77777777" w:rsidR="00170CFB" w:rsidRPr="00983855" w:rsidRDefault="000C6D32">
            <w:pPr>
              <w:spacing w:line="480" w:lineRule="auto"/>
              <w:jc w:val="right"/>
            </w:pPr>
            <w:r w:rsidRPr="00983855">
              <w:t>0.523551833</w:t>
            </w:r>
          </w:p>
        </w:tc>
        <w:tc>
          <w:tcPr>
            <w:tcW w:w="1903" w:type="dxa"/>
            <w:shd w:val="clear" w:color="auto" w:fill="auto"/>
            <w:vAlign w:val="center"/>
          </w:tcPr>
          <w:p w14:paraId="2AC646C2" w14:textId="77777777" w:rsidR="00170CFB" w:rsidRPr="00983855" w:rsidRDefault="000C6D32">
            <w:pPr>
              <w:spacing w:line="480" w:lineRule="auto"/>
              <w:jc w:val="right"/>
            </w:pPr>
            <w:r w:rsidRPr="00983855">
              <w:t>0.476448167</w:t>
            </w:r>
          </w:p>
        </w:tc>
      </w:tr>
      <w:tr w:rsidR="00170CFB" w:rsidRPr="00983855" w14:paraId="7D7EB7CF" w14:textId="77777777" w:rsidTr="00AF1C88">
        <w:trPr>
          <w:trHeight w:val="300"/>
          <w:jc w:val="center"/>
        </w:trPr>
        <w:tc>
          <w:tcPr>
            <w:tcW w:w="1625" w:type="dxa"/>
            <w:shd w:val="clear" w:color="auto" w:fill="auto"/>
          </w:tcPr>
          <w:p w14:paraId="60F386E9" w14:textId="77777777" w:rsidR="00170CFB" w:rsidRPr="00983855" w:rsidRDefault="000C6D32">
            <w:pPr>
              <w:spacing w:line="480" w:lineRule="auto"/>
              <w:jc w:val="center"/>
            </w:pPr>
            <w:r w:rsidRPr="00983855">
              <w:t>80-84</w:t>
            </w:r>
          </w:p>
        </w:tc>
        <w:tc>
          <w:tcPr>
            <w:tcW w:w="1903" w:type="dxa"/>
            <w:shd w:val="clear" w:color="auto" w:fill="auto"/>
            <w:vAlign w:val="center"/>
          </w:tcPr>
          <w:p w14:paraId="798B825D" w14:textId="77777777" w:rsidR="00170CFB" w:rsidRPr="00983855" w:rsidRDefault="000C6D32">
            <w:pPr>
              <w:spacing w:line="480" w:lineRule="auto"/>
              <w:jc w:val="right"/>
            </w:pPr>
            <w:r w:rsidRPr="00983855">
              <w:t>0.098976</w:t>
            </w:r>
          </w:p>
        </w:tc>
        <w:tc>
          <w:tcPr>
            <w:tcW w:w="1903" w:type="dxa"/>
            <w:shd w:val="clear" w:color="auto" w:fill="auto"/>
            <w:vAlign w:val="center"/>
          </w:tcPr>
          <w:p w14:paraId="7815354C" w14:textId="77777777" w:rsidR="00170CFB" w:rsidRPr="00983855" w:rsidRDefault="000C6D32">
            <w:pPr>
              <w:spacing w:line="480" w:lineRule="auto"/>
              <w:jc w:val="right"/>
            </w:pPr>
            <w:r w:rsidRPr="00983855">
              <w:t>0.123394</w:t>
            </w:r>
          </w:p>
        </w:tc>
        <w:tc>
          <w:tcPr>
            <w:tcW w:w="1903" w:type="dxa"/>
            <w:shd w:val="clear" w:color="auto" w:fill="auto"/>
            <w:vAlign w:val="center"/>
          </w:tcPr>
          <w:p w14:paraId="60AAAD34" w14:textId="77777777" w:rsidR="00170CFB" w:rsidRPr="00983855" w:rsidRDefault="000C6D32">
            <w:pPr>
              <w:spacing w:line="480" w:lineRule="auto"/>
              <w:jc w:val="right"/>
            </w:pPr>
            <w:r w:rsidRPr="00983855">
              <w:t>0.553140693</w:t>
            </w:r>
          </w:p>
        </w:tc>
        <w:tc>
          <w:tcPr>
            <w:tcW w:w="1903" w:type="dxa"/>
            <w:shd w:val="clear" w:color="auto" w:fill="auto"/>
            <w:vAlign w:val="center"/>
          </w:tcPr>
          <w:p w14:paraId="0EC382D4" w14:textId="77777777" w:rsidR="00170CFB" w:rsidRPr="00983855" w:rsidRDefault="000C6D32">
            <w:pPr>
              <w:spacing w:line="480" w:lineRule="auto"/>
              <w:jc w:val="right"/>
            </w:pPr>
            <w:r w:rsidRPr="00983855">
              <w:t>0.446859307</w:t>
            </w:r>
          </w:p>
        </w:tc>
      </w:tr>
      <w:tr w:rsidR="00170CFB" w:rsidRPr="00983855" w14:paraId="4A49771A" w14:textId="77777777" w:rsidTr="00AF1C88">
        <w:trPr>
          <w:trHeight w:val="300"/>
          <w:jc w:val="center"/>
        </w:trPr>
        <w:tc>
          <w:tcPr>
            <w:tcW w:w="1625" w:type="dxa"/>
            <w:shd w:val="clear" w:color="auto" w:fill="auto"/>
          </w:tcPr>
          <w:p w14:paraId="015E7444" w14:textId="77777777" w:rsidR="00170CFB" w:rsidRPr="00983855" w:rsidRDefault="000C6D32">
            <w:pPr>
              <w:spacing w:line="480" w:lineRule="auto"/>
              <w:jc w:val="center"/>
            </w:pPr>
            <w:r w:rsidRPr="00983855">
              <w:t>85-89</w:t>
            </w:r>
          </w:p>
        </w:tc>
        <w:tc>
          <w:tcPr>
            <w:tcW w:w="1903" w:type="dxa"/>
            <w:shd w:val="clear" w:color="auto" w:fill="auto"/>
            <w:vAlign w:val="center"/>
          </w:tcPr>
          <w:p w14:paraId="1F9F161E" w14:textId="77777777" w:rsidR="00170CFB" w:rsidRPr="00983855" w:rsidRDefault="000C6D32">
            <w:pPr>
              <w:spacing w:line="480" w:lineRule="auto"/>
              <w:jc w:val="right"/>
            </w:pPr>
            <w:r w:rsidRPr="00983855">
              <w:t>0.163689</w:t>
            </w:r>
          </w:p>
        </w:tc>
        <w:tc>
          <w:tcPr>
            <w:tcW w:w="1903" w:type="dxa"/>
            <w:shd w:val="clear" w:color="auto" w:fill="auto"/>
            <w:vAlign w:val="center"/>
          </w:tcPr>
          <w:p w14:paraId="35204655" w14:textId="77777777" w:rsidR="00170CFB" w:rsidRPr="00983855" w:rsidRDefault="000C6D32">
            <w:pPr>
              <w:spacing w:line="480" w:lineRule="auto"/>
              <w:jc w:val="right"/>
            </w:pPr>
            <w:r w:rsidRPr="00983855">
              <w:t>0.194074</w:t>
            </w:r>
          </w:p>
        </w:tc>
        <w:tc>
          <w:tcPr>
            <w:tcW w:w="1903" w:type="dxa"/>
            <w:shd w:val="clear" w:color="auto" w:fill="auto"/>
            <w:vAlign w:val="center"/>
          </w:tcPr>
          <w:p w14:paraId="3236EA28" w14:textId="77777777" w:rsidR="00170CFB" w:rsidRPr="00983855" w:rsidRDefault="000C6D32">
            <w:pPr>
              <w:spacing w:line="480" w:lineRule="auto"/>
              <w:jc w:val="right"/>
            </w:pPr>
            <w:r w:rsidRPr="00983855">
              <w:t>0.611087866</w:t>
            </w:r>
          </w:p>
        </w:tc>
        <w:tc>
          <w:tcPr>
            <w:tcW w:w="1903" w:type="dxa"/>
            <w:shd w:val="clear" w:color="auto" w:fill="auto"/>
            <w:vAlign w:val="center"/>
          </w:tcPr>
          <w:p w14:paraId="7FC1D65C" w14:textId="77777777" w:rsidR="00170CFB" w:rsidRPr="00983855" w:rsidRDefault="000C6D32">
            <w:pPr>
              <w:spacing w:line="480" w:lineRule="auto"/>
              <w:jc w:val="right"/>
            </w:pPr>
            <w:r w:rsidRPr="00983855">
              <w:t>0.388912134</w:t>
            </w:r>
          </w:p>
        </w:tc>
      </w:tr>
      <w:tr w:rsidR="00170CFB" w:rsidRPr="00983855" w14:paraId="0A8D292D" w14:textId="77777777" w:rsidTr="00AF1C88">
        <w:trPr>
          <w:trHeight w:val="300"/>
          <w:jc w:val="center"/>
        </w:trPr>
        <w:tc>
          <w:tcPr>
            <w:tcW w:w="1625" w:type="dxa"/>
            <w:shd w:val="clear" w:color="auto" w:fill="auto"/>
          </w:tcPr>
          <w:p w14:paraId="7F6B036C" w14:textId="77777777" w:rsidR="00170CFB" w:rsidRPr="00983855" w:rsidRDefault="000C6D32">
            <w:pPr>
              <w:spacing w:line="480" w:lineRule="auto"/>
              <w:jc w:val="center"/>
            </w:pPr>
            <w:r w:rsidRPr="00983855">
              <w:t>90-94</w:t>
            </w:r>
          </w:p>
        </w:tc>
        <w:tc>
          <w:tcPr>
            <w:tcW w:w="1903" w:type="dxa"/>
            <w:shd w:val="clear" w:color="auto" w:fill="auto"/>
            <w:vAlign w:val="center"/>
          </w:tcPr>
          <w:p w14:paraId="476F446A" w14:textId="77777777" w:rsidR="00170CFB" w:rsidRPr="00983855" w:rsidRDefault="000C6D32">
            <w:pPr>
              <w:spacing w:line="480" w:lineRule="auto"/>
              <w:jc w:val="right"/>
            </w:pPr>
            <w:r w:rsidRPr="00983855">
              <w:t>0.28593</w:t>
            </w:r>
          </w:p>
        </w:tc>
        <w:tc>
          <w:tcPr>
            <w:tcW w:w="1903" w:type="dxa"/>
            <w:shd w:val="clear" w:color="auto" w:fill="auto"/>
            <w:vAlign w:val="center"/>
          </w:tcPr>
          <w:p w14:paraId="12A06BDB" w14:textId="77777777" w:rsidR="00170CFB" w:rsidRPr="00983855" w:rsidRDefault="000C6D32">
            <w:pPr>
              <w:spacing w:line="480" w:lineRule="auto"/>
              <w:jc w:val="right"/>
            </w:pPr>
            <w:r w:rsidRPr="00983855">
              <w:t>0.327174</w:t>
            </w:r>
          </w:p>
        </w:tc>
        <w:tc>
          <w:tcPr>
            <w:tcW w:w="1903" w:type="dxa"/>
            <w:shd w:val="clear" w:color="auto" w:fill="auto"/>
            <w:vAlign w:val="center"/>
          </w:tcPr>
          <w:p w14:paraId="2F565FC4" w14:textId="77777777" w:rsidR="00170CFB" w:rsidRPr="00983855" w:rsidRDefault="000C6D32">
            <w:pPr>
              <w:spacing w:line="480" w:lineRule="auto"/>
              <w:jc w:val="right"/>
            </w:pPr>
            <w:r w:rsidRPr="00983855">
              <w:t>0.663655316</w:t>
            </w:r>
          </w:p>
        </w:tc>
        <w:tc>
          <w:tcPr>
            <w:tcW w:w="1903" w:type="dxa"/>
            <w:shd w:val="clear" w:color="auto" w:fill="auto"/>
            <w:vAlign w:val="center"/>
          </w:tcPr>
          <w:p w14:paraId="1FA4A651" w14:textId="77777777" w:rsidR="00170CFB" w:rsidRPr="00983855" w:rsidRDefault="000C6D32">
            <w:pPr>
              <w:spacing w:line="480" w:lineRule="auto"/>
              <w:jc w:val="right"/>
            </w:pPr>
            <w:r w:rsidRPr="00983855">
              <w:t>0.336344684</w:t>
            </w:r>
          </w:p>
        </w:tc>
      </w:tr>
      <w:tr w:rsidR="00170CFB" w:rsidRPr="00983855" w14:paraId="777F857F" w14:textId="77777777" w:rsidTr="00AF1C88">
        <w:trPr>
          <w:trHeight w:val="300"/>
          <w:jc w:val="center"/>
        </w:trPr>
        <w:tc>
          <w:tcPr>
            <w:tcW w:w="1625" w:type="dxa"/>
            <w:shd w:val="clear" w:color="auto" w:fill="auto"/>
          </w:tcPr>
          <w:p w14:paraId="64715C37" w14:textId="77777777" w:rsidR="00170CFB" w:rsidRPr="00983855" w:rsidRDefault="000C6D32">
            <w:pPr>
              <w:spacing w:line="480" w:lineRule="auto"/>
              <w:jc w:val="center"/>
            </w:pPr>
            <w:r w:rsidRPr="00983855">
              <w:t>95-99</w:t>
            </w:r>
          </w:p>
        </w:tc>
        <w:tc>
          <w:tcPr>
            <w:tcW w:w="1903" w:type="dxa"/>
            <w:shd w:val="clear" w:color="auto" w:fill="auto"/>
            <w:vAlign w:val="center"/>
          </w:tcPr>
          <w:p w14:paraId="6BEBA503" w14:textId="77777777" w:rsidR="00170CFB" w:rsidRPr="00983855" w:rsidRDefault="000C6D32">
            <w:pPr>
              <w:spacing w:line="480" w:lineRule="auto"/>
              <w:jc w:val="right"/>
            </w:pPr>
            <w:r w:rsidRPr="00983855">
              <w:t>0.430812</w:t>
            </w:r>
          </w:p>
        </w:tc>
        <w:tc>
          <w:tcPr>
            <w:tcW w:w="1903" w:type="dxa"/>
            <w:shd w:val="clear" w:color="auto" w:fill="auto"/>
            <w:vAlign w:val="center"/>
          </w:tcPr>
          <w:p w14:paraId="4A2647AB" w14:textId="77777777" w:rsidR="00170CFB" w:rsidRPr="00983855" w:rsidRDefault="000C6D32">
            <w:pPr>
              <w:spacing w:line="480" w:lineRule="auto"/>
              <w:jc w:val="right"/>
            </w:pPr>
            <w:r w:rsidRPr="00983855">
              <w:t>0.476082</w:t>
            </w:r>
          </w:p>
        </w:tc>
        <w:tc>
          <w:tcPr>
            <w:tcW w:w="1903" w:type="dxa"/>
            <w:shd w:val="clear" w:color="auto" w:fill="auto"/>
            <w:vAlign w:val="center"/>
          </w:tcPr>
          <w:p w14:paraId="39985465" w14:textId="77777777" w:rsidR="00170CFB" w:rsidRPr="00983855" w:rsidRDefault="000C6D32">
            <w:pPr>
              <w:spacing w:line="480" w:lineRule="auto"/>
              <w:jc w:val="right"/>
            </w:pPr>
            <w:r w:rsidRPr="00983855">
              <w:t>0.766784452</w:t>
            </w:r>
          </w:p>
        </w:tc>
        <w:tc>
          <w:tcPr>
            <w:tcW w:w="1903" w:type="dxa"/>
            <w:shd w:val="clear" w:color="auto" w:fill="auto"/>
            <w:vAlign w:val="center"/>
          </w:tcPr>
          <w:p w14:paraId="23EA8866" w14:textId="77777777" w:rsidR="00170CFB" w:rsidRPr="00983855" w:rsidRDefault="000C6D32">
            <w:pPr>
              <w:spacing w:line="480" w:lineRule="auto"/>
              <w:jc w:val="right"/>
            </w:pPr>
            <w:r w:rsidRPr="00983855">
              <w:t>0.233215548</w:t>
            </w:r>
          </w:p>
        </w:tc>
      </w:tr>
      <w:tr w:rsidR="00170CFB" w:rsidRPr="00983855" w14:paraId="0FD29C6F" w14:textId="77777777" w:rsidTr="00AF1C88">
        <w:trPr>
          <w:trHeight w:val="320"/>
          <w:jc w:val="center"/>
        </w:trPr>
        <w:tc>
          <w:tcPr>
            <w:tcW w:w="1625" w:type="dxa"/>
            <w:shd w:val="clear" w:color="auto" w:fill="auto"/>
          </w:tcPr>
          <w:p w14:paraId="72314E2C" w14:textId="77777777" w:rsidR="00170CFB" w:rsidRPr="00983855" w:rsidRDefault="000C6D32">
            <w:pPr>
              <w:spacing w:line="480" w:lineRule="auto"/>
              <w:jc w:val="center"/>
            </w:pPr>
            <w:r w:rsidRPr="00983855">
              <w:t>100+</w:t>
            </w:r>
          </w:p>
        </w:tc>
        <w:tc>
          <w:tcPr>
            <w:tcW w:w="1903" w:type="dxa"/>
            <w:shd w:val="clear" w:color="auto" w:fill="auto"/>
            <w:vAlign w:val="center"/>
          </w:tcPr>
          <w:p w14:paraId="6890E3B2" w14:textId="77777777" w:rsidR="00170CFB" w:rsidRPr="00983855" w:rsidRDefault="000C6D32">
            <w:pPr>
              <w:spacing w:line="480" w:lineRule="auto"/>
              <w:jc w:val="right"/>
            </w:pPr>
            <w:r w:rsidRPr="00983855">
              <w:t>0.590169</w:t>
            </w:r>
          </w:p>
        </w:tc>
        <w:tc>
          <w:tcPr>
            <w:tcW w:w="1903" w:type="dxa"/>
            <w:shd w:val="clear" w:color="auto" w:fill="auto"/>
            <w:vAlign w:val="center"/>
          </w:tcPr>
          <w:p w14:paraId="197C0B4B" w14:textId="77777777" w:rsidR="00170CFB" w:rsidRPr="00983855" w:rsidRDefault="000C6D32">
            <w:pPr>
              <w:spacing w:line="480" w:lineRule="auto"/>
              <w:jc w:val="right"/>
            </w:pPr>
            <w:r w:rsidRPr="00983855">
              <w:t>0.630123</w:t>
            </w:r>
          </w:p>
        </w:tc>
        <w:tc>
          <w:tcPr>
            <w:tcW w:w="1903" w:type="dxa"/>
            <w:shd w:val="clear" w:color="auto" w:fill="auto"/>
            <w:vAlign w:val="center"/>
          </w:tcPr>
          <w:p w14:paraId="46C9F7BD" w14:textId="77777777" w:rsidR="00170CFB" w:rsidRPr="00983855" w:rsidRDefault="000C6D32">
            <w:pPr>
              <w:spacing w:line="480" w:lineRule="auto"/>
              <w:jc w:val="right"/>
            </w:pPr>
            <w:r w:rsidRPr="00983855">
              <w:t>0.766784452</w:t>
            </w:r>
          </w:p>
        </w:tc>
        <w:tc>
          <w:tcPr>
            <w:tcW w:w="1903" w:type="dxa"/>
            <w:shd w:val="clear" w:color="auto" w:fill="auto"/>
            <w:vAlign w:val="center"/>
          </w:tcPr>
          <w:p w14:paraId="4D31F00A" w14:textId="77777777" w:rsidR="00170CFB" w:rsidRPr="00983855" w:rsidRDefault="000C6D32">
            <w:pPr>
              <w:spacing w:line="480" w:lineRule="auto"/>
              <w:jc w:val="right"/>
            </w:pPr>
            <w:r w:rsidRPr="00983855">
              <w:t>0.233215548</w:t>
            </w:r>
          </w:p>
        </w:tc>
      </w:tr>
    </w:tbl>
    <w:p w14:paraId="1DC7F7E9" w14:textId="0F0D3A4B" w:rsidR="00170CFB" w:rsidRPr="00983855" w:rsidRDefault="00A02DFB" w:rsidP="00983855">
      <w:pPr>
        <w:tabs>
          <w:tab w:val="left" w:pos="7740"/>
        </w:tabs>
        <w:spacing w:line="360" w:lineRule="auto"/>
        <w:contextualSpacing/>
      </w:pPr>
      <w:r w:rsidRPr="00983855">
        <w:rPr>
          <w:rFonts w:ascii="Helvetica Neue" w:eastAsia="Helvetica Neue" w:hAnsi="Helvetica Neue" w:cs="Helvetica Neue"/>
          <w:color w:val="353535"/>
        </w:rPr>
        <w:t>*</w:t>
      </w:r>
      <w:r w:rsidRPr="00983855">
        <w:rPr>
          <w:rFonts w:ascii="Helvetica Neue" w:eastAsia="Helvetica Neue" w:hAnsi="Helvetica Neue" w:cs="Helvetica Neue" w:hint="eastAsia"/>
          <w:color w:val="353535"/>
          <w:lang w:eastAsia="zh-CN"/>
        </w:rPr>
        <w:t xml:space="preserve"> </w:t>
      </w:r>
      <w:r w:rsidR="000C6D32" w:rsidRPr="00983855">
        <w:t xml:space="preserve">The data of sex and age-specific death rate between ages x and x+n come from the China Life Table of 2013 at the WHO website </w:t>
      </w:r>
      <w:r w:rsidR="003125C6">
        <w:rPr>
          <w:rFonts w:hint="eastAsia"/>
          <w:lang w:eastAsia="zh-CN"/>
        </w:rPr>
        <w:t>[1]</w:t>
      </w:r>
      <w:r w:rsidR="000C6D32" w:rsidRPr="00983855">
        <w:t xml:space="preserve">. </w:t>
      </w:r>
    </w:p>
    <w:p w14:paraId="1B7E7838" w14:textId="09820A4B" w:rsidR="00170CFB" w:rsidRPr="00983855" w:rsidRDefault="00A02DFB" w:rsidP="00983855">
      <w:pPr>
        <w:spacing w:line="360" w:lineRule="auto"/>
        <w:contextualSpacing/>
      </w:pPr>
      <w:r w:rsidRPr="00983855">
        <w:rPr>
          <w:rFonts w:ascii="Helvetica" w:hAnsi="Helvetica"/>
          <w:color w:val="353535"/>
        </w:rPr>
        <w:t>†</w:t>
      </w:r>
      <w:r w:rsidRPr="00983855">
        <w:rPr>
          <w:rFonts w:ascii="Helvetica" w:hAnsi="Helvetica" w:hint="eastAsia"/>
          <w:color w:val="353535"/>
          <w:lang w:eastAsia="zh-CN"/>
        </w:rPr>
        <w:t xml:space="preserve"> </w:t>
      </w:r>
      <w:r w:rsidR="000C6D32" w:rsidRPr="00983855">
        <w:t xml:space="preserve">The data of age-specific sex structure come from the China Population and Employment Statistics Yearbook 2014 </w:t>
      </w:r>
      <w:r w:rsidR="003125C6">
        <w:rPr>
          <w:rFonts w:hint="eastAsia"/>
          <w:lang w:eastAsia="zh-CN"/>
        </w:rPr>
        <w:t>[2]</w:t>
      </w:r>
      <w:r w:rsidR="000C6D32" w:rsidRPr="00983855">
        <w:t>.</w:t>
      </w:r>
    </w:p>
    <w:p w14:paraId="74F81C7A" w14:textId="1F20E33F" w:rsidR="00A84FAA" w:rsidRPr="00983855" w:rsidRDefault="000C6D32" w:rsidP="00A84FAA">
      <w:pPr>
        <w:pStyle w:val="Heading1"/>
        <w:spacing w:line="480" w:lineRule="auto"/>
        <w:rPr>
          <w:rFonts w:ascii="Cambria" w:eastAsia="Cambria" w:hAnsi="Cambria" w:cs="Cambria"/>
          <w:b/>
          <w:sz w:val="24"/>
          <w:szCs w:val="24"/>
          <w:lang w:eastAsia="zh-CN"/>
        </w:rPr>
      </w:pPr>
      <w:bookmarkStart w:id="1" w:name="_Toc515773206"/>
      <w:r w:rsidRPr="00983855">
        <w:rPr>
          <w:rFonts w:ascii="Cambria" w:eastAsia="Cambria" w:hAnsi="Cambria" w:cs="Cambria"/>
          <w:b/>
          <w:sz w:val="24"/>
          <w:szCs w:val="24"/>
        </w:rPr>
        <w:lastRenderedPageBreak/>
        <w:t xml:space="preserve">2. </w:t>
      </w:r>
      <w:r w:rsidR="00D967BE" w:rsidRPr="00983855">
        <w:rPr>
          <w:rFonts w:ascii="Cambria" w:eastAsia="Cambria" w:hAnsi="Cambria" w:cs="Cambria"/>
          <w:b/>
          <w:sz w:val="24"/>
          <w:szCs w:val="24"/>
        </w:rPr>
        <w:t>T</w:t>
      </w:r>
      <w:r w:rsidRPr="00983855">
        <w:rPr>
          <w:rFonts w:ascii="Cambria" w:eastAsia="Cambria" w:hAnsi="Cambria" w:cs="Cambria"/>
          <w:b/>
          <w:sz w:val="24"/>
          <w:szCs w:val="24"/>
        </w:rPr>
        <w:t>he</w:t>
      </w:r>
      <w:r w:rsidR="00043A87" w:rsidRPr="00983855">
        <w:rPr>
          <w:rFonts w:ascii="Cambria" w:eastAsia="Cambria" w:hAnsi="Cambria" w:cs="Cambria" w:hint="eastAsia"/>
          <w:b/>
          <w:sz w:val="24"/>
          <w:szCs w:val="24"/>
          <w:lang w:eastAsia="zh-CN"/>
        </w:rPr>
        <w:t xml:space="preserve"> </w:t>
      </w:r>
      <w:r w:rsidRPr="00983855">
        <w:rPr>
          <w:rFonts w:ascii="Cambria" w:eastAsia="Cambria" w:hAnsi="Cambria" w:cs="Cambria"/>
          <w:b/>
          <w:sz w:val="24"/>
          <w:szCs w:val="24"/>
        </w:rPr>
        <w:t>NCMS’s impact on mortality</w:t>
      </w:r>
      <w:bookmarkEnd w:id="1"/>
    </w:p>
    <w:p w14:paraId="111B11D8" w14:textId="3FD590EF" w:rsidR="00170CFB" w:rsidRPr="00983855" w:rsidRDefault="000C6D32">
      <w:pPr>
        <w:spacing w:line="480" w:lineRule="auto"/>
        <w:ind w:firstLine="720"/>
      </w:pPr>
      <w:r w:rsidRPr="00983855">
        <w:t>These assumptions were tested using the average effects of the program throughout rural China. We used the estimate of the NCMS’s im</w:t>
      </w:r>
      <w:r w:rsidR="00A161CD" w:rsidRPr="00983855">
        <w:t xml:space="preserve">pact on mortality from </w:t>
      </w:r>
      <w:r w:rsidR="002A6959">
        <w:t xml:space="preserve">Zhou and his colleagues’ paper </w:t>
      </w:r>
      <w:r w:rsidR="00DC1543">
        <w:rPr>
          <w:rFonts w:hint="eastAsia"/>
          <w:lang w:eastAsia="zh-CN"/>
        </w:rPr>
        <w:t>[3]</w:t>
      </w:r>
      <w:r w:rsidRPr="00983855">
        <w:t xml:space="preserve">. The coefficients listed </w:t>
      </w:r>
      <w:r w:rsidR="00490C03">
        <w:rPr>
          <w:rFonts w:hint="eastAsia"/>
          <w:lang w:eastAsia="zh-CN"/>
        </w:rPr>
        <w:t>in Table B</w:t>
      </w:r>
      <w:r w:rsidRPr="00983855">
        <w:t xml:space="preserve"> are the estimated marginal eff</w:t>
      </w:r>
      <w:r w:rsidR="00A161CD" w:rsidRPr="00983855">
        <w:t>ects of NCMS on age-</w:t>
      </w:r>
      <w:r w:rsidRPr="00983855">
        <w:t xml:space="preserve">adjusted death rates by gender and age group per 1000 population. We then took these numbers (multiplied by 1000) and, via the model, added them to the mortality rate for the corresponding gender and age group to represent the effect of NCMS. </w:t>
      </w:r>
      <w:bookmarkStart w:id="2" w:name="_GoBack"/>
      <w:bookmarkEnd w:id="2"/>
    </w:p>
    <w:p w14:paraId="5688355A" w14:textId="5E07C3E8" w:rsidR="00170CFB" w:rsidRPr="00983855" w:rsidRDefault="000C6D32">
      <w:pPr>
        <w:spacing w:line="480" w:lineRule="auto"/>
        <w:rPr>
          <w:b/>
        </w:rPr>
      </w:pPr>
      <w:r w:rsidRPr="00983855">
        <w:rPr>
          <w:b/>
        </w:rPr>
        <w:t>Table</w:t>
      </w:r>
      <w:r w:rsidR="00610B84">
        <w:rPr>
          <w:rFonts w:hint="eastAsia"/>
          <w:b/>
          <w:lang w:eastAsia="zh-CN"/>
        </w:rPr>
        <w:t xml:space="preserve"> B</w:t>
      </w:r>
      <w:r w:rsidRPr="00983855">
        <w:rPr>
          <w:b/>
        </w:rPr>
        <w:t xml:space="preserve">. Estimated </w:t>
      </w:r>
      <w:r w:rsidR="00855B79" w:rsidRPr="00983855">
        <w:rPr>
          <w:b/>
        </w:rPr>
        <w:t>m</w:t>
      </w:r>
      <w:r w:rsidRPr="00983855">
        <w:rPr>
          <w:b/>
        </w:rPr>
        <w:t xml:space="preserve">arginal </w:t>
      </w:r>
      <w:r w:rsidR="00855B79" w:rsidRPr="00983855">
        <w:rPr>
          <w:b/>
        </w:rPr>
        <w:t>e</w:t>
      </w:r>
      <w:r w:rsidRPr="00983855">
        <w:rPr>
          <w:b/>
        </w:rPr>
        <w:t xml:space="preserve">ffect of </w:t>
      </w:r>
      <w:r w:rsidR="00855B79" w:rsidRPr="00983855">
        <w:rPr>
          <w:b/>
        </w:rPr>
        <w:t xml:space="preserve">the </w:t>
      </w:r>
      <w:r w:rsidRPr="00983855">
        <w:rPr>
          <w:b/>
        </w:rPr>
        <w:t xml:space="preserve">NCMS by </w:t>
      </w:r>
      <w:r w:rsidR="00855B79" w:rsidRPr="00983855">
        <w:rPr>
          <w:b/>
        </w:rPr>
        <w:t>a</w:t>
      </w:r>
      <w:r w:rsidRPr="00983855">
        <w:rPr>
          <w:b/>
        </w:rPr>
        <w:t xml:space="preserve">ge </w:t>
      </w:r>
      <w:r w:rsidR="00855B79" w:rsidRPr="00983855">
        <w:rPr>
          <w:b/>
        </w:rPr>
        <w:t>g</w:t>
      </w:r>
      <w:r w:rsidRPr="00983855">
        <w:rPr>
          <w:b/>
        </w:rPr>
        <w:t xml:space="preserve">roup and </w:t>
      </w:r>
      <w:r w:rsidR="00855B79" w:rsidRPr="00983855">
        <w:rPr>
          <w:b/>
        </w:rPr>
        <w:t>g</w:t>
      </w:r>
      <w:r w:rsidRPr="00983855">
        <w:rPr>
          <w:b/>
        </w:rPr>
        <w:t xml:space="preserve">ender per 1000 population </w:t>
      </w:r>
    </w:p>
    <w:tbl>
      <w:tblPr>
        <w:tblStyle w:val="a0"/>
        <w:tblW w:w="10500" w:type="dxa"/>
        <w:jc w:val="center"/>
        <w:tblBorders>
          <w:top w:val="single" w:sz="18" w:space="0" w:color="000000"/>
          <w:bottom w:val="single" w:sz="18" w:space="0" w:color="000000"/>
        </w:tblBorders>
        <w:tblLayout w:type="fixed"/>
        <w:tblLook w:val="0600" w:firstRow="0" w:lastRow="0" w:firstColumn="0" w:lastColumn="0" w:noHBand="1" w:noVBand="1"/>
      </w:tblPr>
      <w:tblGrid>
        <w:gridCol w:w="1500"/>
        <w:gridCol w:w="1500"/>
        <w:gridCol w:w="1500"/>
        <w:gridCol w:w="1500"/>
        <w:gridCol w:w="1500"/>
        <w:gridCol w:w="1500"/>
        <w:gridCol w:w="1500"/>
      </w:tblGrid>
      <w:tr w:rsidR="00526A6F" w:rsidRPr="00983855" w14:paraId="0F127F06" w14:textId="77777777" w:rsidTr="000D507E">
        <w:trPr>
          <w:trHeight w:val="340"/>
          <w:jc w:val="center"/>
        </w:trPr>
        <w:tc>
          <w:tcPr>
            <w:tcW w:w="1500" w:type="dxa"/>
            <w:vMerge w:val="restart"/>
            <w:tcBorders>
              <w:top w:val="single" w:sz="18" w:space="0" w:color="000000"/>
              <w:bottom w:val="nil"/>
            </w:tcBorders>
            <w:tcMar>
              <w:top w:w="40" w:type="dxa"/>
              <w:left w:w="40" w:type="dxa"/>
              <w:bottom w:w="40" w:type="dxa"/>
              <w:right w:w="40" w:type="dxa"/>
            </w:tcMar>
            <w:vAlign w:val="center"/>
          </w:tcPr>
          <w:p w14:paraId="4273AC24" w14:textId="63B2AD69" w:rsidR="00526A6F" w:rsidRPr="00983855" w:rsidRDefault="00526A6F" w:rsidP="00526A6F">
            <w:pPr>
              <w:jc w:val="center"/>
              <w:rPr>
                <w:b/>
              </w:rPr>
            </w:pPr>
            <w:r w:rsidRPr="00983855">
              <w:rPr>
                <w:b/>
              </w:rPr>
              <w:t>Age, gender</w:t>
            </w:r>
          </w:p>
        </w:tc>
        <w:tc>
          <w:tcPr>
            <w:tcW w:w="3000" w:type="dxa"/>
            <w:gridSpan w:val="2"/>
            <w:tcBorders>
              <w:top w:val="single" w:sz="18" w:space="0" w:color="000000"/>
              <w:bottom w:val="single" w:sz="8" w:space="0" w:color="000000"/>
            </w:tcBorders>
            <w:tcMar>
              <w:top w:w="40" w:type="dxa"/>
              <w:left w:w="40" w:type="dxa"/>
              <w:bottom w:w="40" w:type="dxa"/>
              <w:right w:w="40" w:type="dxa"/>
            </w:tcMar>
            <w:vAlign w:val="bottom"/>
          </w:tcPr>
          <w:p w14:paraId="6A9FB0E0" w14:textId="77777777" w:rsidR="00526A6F" w:rsidRPr="00983855" w:rsidRDefault="00526A6F">
            <w:pPr>
              <w:jc w:val="center"/>
              <w:rPr>
                <w:b/>
              </w:rPr>
            </w:pPr>
            <w:r w:rsidRPr="00983855">
              <w:rPr>
                <w:b/>
              </w:rPr>
              <w:t>Age 20-44</w:t>
            </w:r>
          </w:p>
        </w:tc>
        <w:tc>
          <w:tcPr>
            <w:tcW w:w="3000" w:type="dxa"/>
            <w:gridSpan w:val="2"/>
            <w:tcBorders>
              <w:top w:val="single" w:sz="18" w:space="0" w:color="000000"/>
              <w:bottom w:val="single" w:sz="8" w:space="0" w:color="000000"/>
            </w:tcBorders>
            <w:shd w:val="clear" w:color="auto" w:fill="auto"/>
            <w:tcMar>
              <w:top w:w="40" w:type="dxa"/>
              <w:left w:w="40" w:type="dxa"/>
              <w:bottom w:w="40" w:type="dxa"/>
              <w:right w:w="40" w:type="dxa"/>
            </w:tcMar>
            <w:vAlign w:val="bottom"/>
          </w:tcPr>
          <w:p w14:paraId="0B516C60" w14:textId="77777777" w:rsidR="00526A6F" w:rsidRPr="00983855" w:rsidRDefault="00526A6F">
            <w:pPr>
              <w:jc w:val="center"/>
              <w:rPr>
                <w:b/>
              </w:rPr>
            </w:pPr>
            <w:r w:rsidRPr="00983855">
              <w:rPr>
                <w:b/>
              </w:rPr>
              <w:t>Age 45-59</w:t>
            </w:r>
          </w:p>
        </w:tc>
        <w:tc>
          <w:tcPr>
            <w:tcW w:w="3000" w:type="dxa"/>
            <w:gridSpan w:val="2"/>
            <w:tcBorders>
              <w:top w:val="single" w:sz="18" w:space="0" w:color="000000"/>
              <w:bottom w:val="single" w:sz="8" w:space="0" w:color="000000"/>
            </w:tcBorders>
            <w:shd w:val="clear" w:color="auto" w:fill="auto"/>
            <w:tcMar>
              <w:top w:w="40" w:type="dxa"/>
              <w:left w:w="40" w:type="dxa"/>
              <w:bottom w:w="40" w:type="dxa"/>
              <w:right w:w="40" w:type="dxa"/>
            </w:tcMar>
            <w:vAlign w:val="bottom"/>
          </w:tcPr>
          <w:p w14:paraId="4DB76109" w14:textId="77777777" w:rsidR="00526A6F" w:rsidRPr="00983855" w:rsidRDefault="00526A6F">
            <w:pPr>
              <w:jc w:val="center"/>
              <w:rPr>
                <w:b/>
              </w:rPr>
            </w:pPr>
            <w:r w:rsidRPr="00983855">
              <w:rPr>
                <w:b/>
              </w:rPr>
              <w:t>Age 60+</w:t>
            </w:r>
          </w:p>
        </w:tc>
      </w:tr>
      <w:tr w:rsidR="00526A6F" w:rsidRPr="00983855" w14:paraId="452D87CD" w14:textId="77777777" w:rsidTr="000D507E">
        <w:trPr>
          <w:trHeight w:val="340"/>
          <w:jc w:val="center"/>
        </w:trPr>
        <w:tc>
          <w:tcPr>
            <w:tcW w:w="1500" w:type="dxa"/>
            <w:vMerge/>
            <w:tcBorders>
              <w:top w:val="nil"/>
              <w:bottom w:val="single" w:sz="8" w:space="0" w:color="000000"/>
            </w:tcBorders>
            <w:shd w:val="clear" w:color="auto" w:fill="auto"/>
            <w:tcMar>
              <w:top w:w="40" w:type="dxa"/>
              <w:left w:w="40" w:type="dxa"/>
              <w:bottom w:w="40" w:type="dxa"/>
              <w:right w:w="40" w:type="dxa"/>
            </w:tcMar>
            <w:vAlign w:val="bottom"/>
          </w:tcPr>
          <w:p w14:paraId="539FBA1B" w14:textId="31660B37" w:rsidR="00526A6F" w:rsidRPr="00983855" w:rsidRDefault="00526A6F"/>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31B38F1A" w14:textId="77777777" w:rsidR="00526A6F" w:rsidRPr="00983855" w:rsidRDefault="00526A6F">
            <w:pPr>
              <w:jc w:val="center"/>
              <w:rPr>
                <w:b/>
              </w:rPr>
            </w:pPr>
            <w:r w:rsidRPr="00983855">
              <w:rPr>
                <w:b/>
              </w:rPr>
              <w:t>Male</w:t>
            </w:r>
          </w:p>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5085A47F" w14:textId="77777777" w:rsidR="00526A6F" w:rsidRPr="00983855" w:rsidRDefault="00526A6F">
            <w:pPr>
              <w:jc w:val="center"/>
              <w:rPr>
                <w:b/>
              </w:rPr>
            </w:pPr>
            <w:r w:rsidRPr="00983855">
              <w:rPr>
                <w:b/>
              </w:rPr>
              <w:t>Female</w:t>
            </w:r>
          </w:p>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320483FD" w14:textId="77777777" w:rsidR="00526A6F" w:rsidRPr="00983855" w:rsidRDefault="00526A6F">
            <w:pPr>
              <w:jc w:val="center"/>
              <w:rPr>
                <w:b/>
              </w:rPr>
            </w:pPr>
            <w:r w:rsidRPr="00983855">
              <w:rPr>
                <w:b/>
              </w:rPr>
              <w:t>Male</w:t>
            </w:r>
          </w:p>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7248514E" w14:textId="77777777" w:rsidR="00526A6F" w:rsidRPr="00983855" w:rsidRDefault="00526A6F">
            <w:pPr>
              <w:jc w:val="center"/>
              <w:rPr>
                <w:b/>
              </w:rPr>
            </w:pPr>
            <w:r w:rsidRPr="00983855">
              <w:rPr>
                <w:b/>
              </w:rPr>
              <w:t>Female</w:t>
            </w:r>
          </w:p>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5B6419B7" w14:textId="77777777" w:rsidR="00526A6F" w:rsidRPr="00983855" w:rsidRDefault="00526A6F">
            <w:pPr>
              <w:jc w:val="center"/>
              <w:rPr>
                <w:b/>
              </w:rPr>
            </w:pPr>
            <w:r w:rsidRPr="00983855">
              <w:rPr>
                <w:b/>
              </w:rPr>
              <w:t>Male</w:t>
            </w:r>
          </w:p>
        </w:tc>
        <w:tc>
          <w:tcPr>
            <w:tcW w:w="1500" w:type="dxa"/>
            <w:tcBorders>
              <w:top w:val="single" w:sz="8" w:space="0" w:color="000000"/>
              <w:bottom w:val="single" w:sz="8" w:space="0" w:color="000000"/>
            </w:tcBorders>
            <w:shd w:val="clear" w:color="auto" w:fill="auto"/>
            <w:tcMar>
              <w:top w:w="40" w:type="dxa"/>
              <w:left w:w="40" w:type="dxa"/>
              <w:bottom w:w="40" w:type="dxa"/>
              <w:right w:w="40" w:type="dxa"/>
            </w:tcMar>
            <w:vAlign w:val="bottom"/>
          </w:tcPr>
          <w:p w14:paraId="2A3B6F67" w14:textId="77777777" w:rsidR="00526A6F" w:rsidRPr="00983855" w:rsidRDefault="00526A6F">
            <w:pPr>
              <w:jc w:val="center"/>
              <w:rPr>
                <w:b/>
              </w:rPr>
            </w:pPr>
            <w:r w:rsidRPr="00983855">
              <w:rPr>
                <w:b/>
              </w:rPr>
              <w:t>Female</w:t>
            </w:r>
          </w:p>
        </w:tc>
      </w:tr>
      <w:tr w:rsidR="00170CFB" w:rsidRPr="00983855" w14:paraId="4172AB20" w14:textId="77777777" w:rsidTr="00AF1C88">
        <w:trPr>
          <w:trHeight w:val="340"/>
          <w:jc w:val="center"/>
        </w:trPr>
        <w:tc>
          <w:tcPr>
            <w:tcW w:w="1500" w:type="dxa"/>
            <w:tcBorders>
              <w:top w:val="single" w:sz="8" w:space="0" w:color="000000"/>
            </w:tcBorders>
            <w:shd w:val="clear" w:color="auto" w:fill="auto"/>
            <w:tcMar>
              <w:top w:w="40" w:type="dxa"/>
              <w:left w:w="40" w:type="dxa"/>
              <w:bottom w:w="40" w:type="dxa"/>
              <w:right w:w="40" w:type="dxa"/>
            </w:tcMar>
            <w:vAlign w:val="bottom"/>
          </w:tcPr>
          <w:p w14:paraId="7EBFA4F3" w14:textId="77777777" w:rsidR="00170CFB" w:rsidRPr="00983855" w:rsidRDefault="000C6D32">
            <w:r w:rsidRPr="00983855">
              <w:t>Cof.</w:t>
            </w:r>
          </w:p>
        </w:tc>
        <w:tc>
          <w:tcPr>
            <w:tcW w:w="1500" w:type="dxa"/>
            <w:tcBorders>
              <w:top w:val="single" w:sz="8" w:space="0" w:color="000000"/>
            </w:tcBorders>
            <w:shd w:val="clear" w:color="auto" w:fill="auto"/>
            <w:tcMar>
              <w:top w:w="40" w:type="dxa"/>
              <w:left w:w="40" w:type="dxa"/>
              <w:bottom w:w="40" w:type="dxa"/>
              <w:right w:w="40" w:type="dxa"/>
            </w:tcMar>
            <w:vAlign w:val="bottom"/>
          </w:tcPr>
          <w:p w14:paraId="19280A8C" w14:textId="134ACC84" w:rsidR="00170CFB" w:rsidRPr="00983855" w:rsidRDefault="000C6D32" w:rsidP="00312CCF">
            <w:pPr>
              <w:jc w:val="right"/>
            </w:pPr>
            <w:r w:rsidRPr="00983855">
              <w:t>-0.1</w:t>
            </w:r>
            <w:r w:rsidR="00855B79" w:rsidRPr="00983855">
              <w:t>0</w:t>
            </w:r>
          </w:p>
        </w:tc>
        <w:tc>
          <w:tcPr>
            <w:tcW w:w="1500" w:type="dxa"/>
            <w:tcBorders>
              <w:top w:val="single" w:sz="8" w:space="0" w:color="000000"/>
            </w:tcBorders>
            <w:shd w:val="clear" w:color="auto" w:fill="auto"/>
            <w:tcMar>
              <w:top w:w="40" w:type="dxa"/>
              <w:left w:w="40" w:type="dxa"/>
              <w:bottom w:w="40" w:type="dxa"/>
              <w:right w:w="40" w:type="dxa"/>
            </w:tcMar>
            <w:vAlign w:val="bottom"/>
          </w:tcPr>
          <w:p w14:paraId="30295189" w14:textId="3772B23E" w:rsidR="00170CFB" w:rsidRPr="00983855" w:rsidRDefault="000C6D32" w:rsidP="00312CCF">
            <w:pPr>
              <w:jc w:val="right"/>
            </w:pPr>
            <w:r w:rsidRPr="00983855">
              <w:t>-0.0</w:t>
            </w:r>
            <w:r w:rsidR="00855B79" w:rsidRPr="00983855">
              <w:t>5</w:t>
            </w:r>
          </w:p>
        </w:tc>
        <w:tc>
          <w:tcPr>
            <w:tcW w:w="1500" w:type="dxa"/>
            <w:tcBorders>
              <w:top w:val="single" w:sz="8" w:space="0" w:color="000000"/>
            </w:tcBorders>
            <w:shd w:val="clear" w:color="auto" w:fill="auto"/>
            <w:tcMar>
              <w:top w:w="40" w:type="dxa"/>
              <w:left w:w="40" w:type="dxa"/>
              <w:bottom w:w="40" w:type="dxa"/>
              <w:right w:w="40" w:type="dxa"/>
            </w:tcMar>
            <w:vAlign w:val="bottom"/>
          </w:tcPr>
          <w:p w14:paraId="3C29C2D8" w14:textId="77777777" w:rsidR="00170CFB" w:rsidRPr="00983855" w:rsidRDefault="000C6D32" w:rsidP="00312CCF">
            <w:pPr>
              <w:jc w:val="right"/>
            </w:pPr>
            <w:r w:rsidRPr="00983855">
              <w:t>-0.14</w:t>
            </w:r>
          </w:p>
        </w:tc>
        <w:tc>
          <w:tcPr>
            <w:tcW w:w="1500" w:type="dxa"/>
            <w:tcBorders>
              <w:top w:val="single" w:sz="8" w:space="0" w:color="000000"/>
            </w:tcBorders>
            <w:shd w:val="clear" w:color="auto" w:fill="auto"/>
            <w:tcMar>
              <w:top w:w="40" w:type="dxa"/>
              <w:left w:w="40" w:type="dxa"/>
              <w:bottom w:w="40" w:type="dxa"/>
              <w:right w:w="40" w:type="dxa"/>
            </w:tcMar>
            <w:vAlign w:val="bottom"/>
          </w:tcPr>
          <w:p w14:paraId="2924BCA6" w14:textId="462CB8EF" w:rsidR="00170CFB" w:rsidRPr="00983855" w:rsidRDefault="000C6D32" w:rsidP="00312CCF">
            <w:pPr>
              <w:jc w:val="right"/>
            </w:pPr>
            <w:r w:rsidRPr="00983855">
              <w:t>-0.0</w:t>
            </w:r>
            <w:r w:rsidR="00855B79" w:rsidRPr="00983855">
              <w:t>5</w:t>
            </w:r>
          </w:p>
        </w:tc>
        <w:tc>
          <w:tcPr>
            <w:tcW w:w="1500" w:type="dxa"/>
            <w:tcBorders>
              <w:top w:val="single" w:sz="8" w:space="0" w:color="000000"/>
            </w:tcBorders>
            <w:shd w:val="clear" w:color="auto" w:fill="auto"/>
            <w:tcMar>
              <w:top w:w="40" w:type="dxa"/>
              <w:left w:w="40" w:type="dxa"/>
              <w:bottom w:w="40" w:type="dxa"/>
              <w:right w:w="40" w:type="dxa"/>
            </w:tcMar>
            <w:vAlign w:val="bottom"/>
          </w:tcPr>
          <w:p w14:paraId="01660087" w14:textId="3CBF7C72" w:rsidR="00170CFB" w:rsidRPr="00983855" w:rsidRDefault="000C6D32" w:rsidP="00312CCF">
            <w:pPr>
              <w:jc w:val="right"/>
            </w:pPr>
            <w:r w:rsidRPr="00983855">
              <w:t>0.36</w:t>
            </w:r>
          </w:p>
        </w:tc>
        <w:tc>
          <w:tcPr>
            <w:tcW w:w="1500" w:type="dxa"/>
            <w:tcBorders>
              <w:top w:val="single" w:sz="8" w:space="0" w:color="000000"/>
            </w:tcBorders>
            <w:shd w:val="clear" w:color="auto" w:fill="auto"/>
            <w:tcMar>
              <w:top w:w="40" w:type="dxa"/>
              <w:left w:w="40" w:type="dxa"/>
              <w:bottom w:w="40" w:type="dxa"/>
              <w:right w:w="40" w:type="dxa"/>
            </w:tcMar>
            <w:vAlign w:val="bottom"/>
          </w:tcPr>
          <w:p w14:paraId="412EF4D0" w14:textId="1915F02B" w:rsidR="00170CFB" w:rsidRPr="00983855" w:rsidRDefault="000C6D32" w:rsidP="00312CCF">
            <w:pPr>
              <w:jc w:val="right"/>
            </w:pPr>
            <w:r w:rsidRPr="00983855">
              <w:t>1.05</w:t>
            </w:r>
          </w:p>
        </w:tc>
      </w:tr>
      <w:tr w:rsidR="00170CFB" w:rsidRPr="00983855" w14:paraId="409F14A8" w14:textId="77777777" w:rsidTr="00AF1C88">
        <w:trPr>
          <w:trHeight w:val="340"/>
          <w:jc w:val="center"/>
        </w:trPr>
        <w:tc>
          <w:tcPr>
            <w:tcW w:w="1500" w:type="dxa"/>
            <w:shd w:val="clear" w:color="auto" w:fill="auto"/>
            <w:tcMar>
              <w:top w:w="40" w:type="dxa"/>
              <w:left w:w="40" w:type="dxa"/>
              <w:bottom w:w="40" w:type="dxa"/>
              <w:right w:w="40" w:type="dxa"/>
            </w:tcMar>
            <w:vAlign w:val="bottom"/>
          </w:tcPr>
          <w:p w14:paraId="671BCE94" w14:textId="77777777" w:rsidR="00170CFB" w:rsidRPr="00983855" w:rsidRDefault="000C6D32">
            <w:r w:rsidRPr="00983855">
              <w:t>S.E.</w:t>
            </w:r>
          </w:p>
        </w:tc>
        <w:tc>
          <w:tcPr>
            <w:tcW w:w="1500" w:type="dxa"/>
            <w:shd w:val="clear" w:color="auto" w:fill="auto"/>
            <w:tcMar>
              <w:top w:w="40" w:type="dxa"/>
              <w:left w:w="40" w:type="dxa"/>
              <w:bottom w:w="40" w:type="dxa"/>
              <w:right w:w="40" w:type="dxa"/>
            </w:tcMar>
            <w:vAlign w:val="bottom"/>
          </w:tcPr>
          <w:p w14:paraId="30D0E972" w14:textId="79AB516C" w:rsidR="00170CFB" w:rsidRPr="00983855" w:rsidRDefault="000C6D32" w:rsidP="00312CCF">
            <w:pPr>
              <w:jc w:val="right"/>
            </w:pPr>
            <w:r w:rsidRPr="00983855">
              <w:t>0.09</w:t>
            </w:r>
          </w:p>
        </w:tc>
        <w:tc>
          <w:tcPr>
            <w:tcW w:w="1500" w:type="dxa"/>
            <w:shd w:val="clear" w:color="auto" w:fill="auto"/>
            <w:tcMar>
              <w:top w:w="40" w:type="dxa"/>
              <w:left w:w="40" w:type="dxa"/>
              <w:bottom w:w="40" w:type="dxa"/>
              <w:right w:w="40" w:type="dxa"/>
            </w:tcMar>
            <w:vAlign w:val="bottom"/>
          </w:tcPr>
          <w:p w14:paraId="5998808C" w14:textId="3C5F9817" w:rsidR="00170CFB" w:rsidRPr="00983855" w:rsidRDefault="000C6D32" w:rsidP="00312CCF">
            <w:pPr>
              <w:jc w:val="right"/>
            </w:pPr>
            <w:r w:rsidRPr="00983855">
              <w:t>0.0</w:t>
            </w:r>
            <w:r w:rsidR="00855B79" w:rsidRPr="00983855">
              <w:t>4</w:t>
            </w:r>
          </w:p>
        </w:tc>
        <w:tc>
          <w:tcPr>
            <w:tcW w:w="1500" w:type="dxa"/>
            <w:shd w:val="clear" w:color="auto" w:fill="auto"/>
            <w:tcMar>
              <w:top w:w="40" w:type="dxa"/>
              <w:left w:w="40" w:type="dxa"/>
              <w:bottom w:w="40" w:type="dxa"/>
              <w:right w:w="40" w:type="dxa"/>
            </w:tcMar>
            <w:vAlign w:val="bottom"/>
          </w:tcPr>
          <w:p w14:paraId="4A88554C" w14:textId="3A5A8DF0" w:rsidR="00170CFB" w:rsidRPr="00983855" w:rsidRDefault="000C6D32" w:rsidP="00312CCF">
            <w:pPr>
              <w:jc w:val="right"/>
            </w:pPr>
            <w:r w:rsidRPr="00983855">
              <w:t>0.2</w:t>
            </w:r>
            <w:r w:rsidR="00855B79" w:rsidRPr="00983855">
              <w:t>2</w:t>
            </w:r>
          </w:p>
        </w:tc>
        <w:tc>
          <w:tcPr>
            <w:tcW w:w="1500" w:type="dxa"/>
            <w:shd w:val="clear" w:color="auto" w:fill="auto"/>
            <w:tcMar>
              <w:top w:w="40" w:type="dxa"/>
              <w:left w:w="40" w:type="dxa"/>
              <w:bottom w:w="40" w:type="dxa"/>
              <w:right w:w="40" w:type="dxa"/>
            </w:tcMar>
            <w:vAlign w:val="bottom"/>
          </w:tcPr>
          <w:p w14:paraId="6B3D27AA" w14:textId="3F03F306" w:rsidR="00170CFB" w:rsidRPr="00983855" w:rsidRDefault="000C6D32" w:rsidP="00312CCF">
            <w:pPr>
              <w:jc w:val="right"/>
            </w:pPr>
            <w:r w:rsidRPr="00983855">
              <w:t>0.1</w:t>
            </w:r>
            <w:r w:rsidR="00855B79" w:rsidRPr="00983855">
              <w:t>4</w:t>
            </w:r>
          </w:p>
        </w:tc>
        <w:tc>
          <w:tcPr>
            <w:tcW w:w="1500" w:type="dxa"/>
            <w:shd w:val="clear" w:color="auto" w:fill="auto"/>
            <w:tcMar>
              <w:top w:w="40" w:type="dxa"/>
              <w:left w:w="40" w:type="dxa"/>
              <w:bottom w:w="40" w:type="dxa"/>
              <w:right w:w="40" w:type="dxa"/>
            </w:tcMar>
            <w:vAlign w:val="bottom"/>
          </w:tcPr>
          <w:p w14:paraId="2427838B" w14:textId="77777777" w:rsidR="00170CFB" w:rsidRPr="00983855" w:rsidRDefault="000C6D32" w:rsidP="00312CCF">
            <w:pPr>
              <w:jc w:val="right"/>
            </w:pPr>
            <w:r w:rsidRPr="00983855">
              <w:t>1.72</w:t>
            </w:r>
          </w:p>
        </w:tc>
        <w:tc>
          <w:tcPr>
            <w:tcW w:w="1500" w:type="dxa"/>
            <w:shd w:val="clear" w:color="auto" w:fill="auto"/>
            <w:tcMar>
              <w:top w:w="40" w:type="dxa"/>
              <w:left w:w="40" w:type="dxa"/>
              <w:bottom w:w="40" w:type="dxa"/>
              <w:right w:w="40" w:type="dxa"/>
            </w:tcMar>
            <w:vAlign w:val="bottom"/>
          </w:tcPr>
          <w:p w14:paraId="1AEE3CCC" w14:textId="158F07EC" w:rsidR="00170CFB" w:rsidRPr="00983855" w:rsidRDefault="000C6D32" w:rsidP="00312CCF">
            <w:pPr>
              <w:jc w:val="right"/>
            </w:pPr>
            <w:r w:rsidRPr="00983855">
              <w:t>1.41</w:t>
            </w:r>
          </w:p>
        </w:tc>
      </w:tr>
      <w:tr w:rsidR="00170CFB" w:rsidRPr="00983855" w14:paraId="65389B5C" w14:textId="77777777" w:rsidTr="00AF1C88">
        <w:trPr>
          <w:trHeight w:val="340"/>
          <w:jc w:val="center"/>
        </w:trPr>
        <w:tc>
          <w:tcPr>
            <w:tcW w:w="1500" w:type="dxa"/>
            <w:shd w:val="clear" w:color="auto" w:fill="auto"/>
            <w:tcMar>
              <w:top w:w="40" w:type="dxa"/>
              <w:left w:w="40" w:type="dxa"/>
              <w:bottom w:w="40" w:type="dxa"/>
              <w:right w:w="40" w:type="dxa"/>
            </w:tcMar>
            <w:vAlign w:val="bottom"/>
          </w:tcPr>
          <w:p w14:paraId="31E853DD" w14:textId="77777777" w:rsidR="00170CFB" w:rsidRPr="00983855" w:rsidRDefault="000C6D32">
            <w:r w:rsidRPr="00983855">
              <w:t>95% CI Min</w:t>
            </w:r>
          </w:p>
        </w:tc>
        <w:tc>
          <w:tcPr>
            <w:tcW w:w="1500" w:type="dxa"/>
            <w:shd w:val="clear" w:color="auto" w:fill="auto"/>
            <w:tcMar>
              <w:top w:w="40" w:type="dxa"/>
              <w:left w:w="40" w:type="dxa"/>
              <w:bottom w:w="40" w:type="dxa"/>
              <w:right w:w="40" w:type="dxa"/>
            </w:tcMar>
            <w:vAlign w:val="bottom"/>
          </w:tcPr>
          <w:p w14:paraId="38E60F2A" w14:textId="77777777" w:rsidR="00170CFB" w:rsidRPr="00983855" w:rsidRDefault="000C6D32" w:rsidP="00312CCF">
            <w:pPr>
              <w:jc w:val="right"/>
            </w:pPr>
            <w:r w:rsidRPr="00983855">
              <w:t>-0.28</w:t>
            </w:r>
          </w:p>
        </w:tc>
        <w:tc>
          <w:tcPr>
            <w:tcW w:w="1500" w:type="dxa"/>
            <w:shd w:val="clear" w:color="auto" w:fill="auto"/>
            <w:tcMar>
              <w:top w:w="40" w:type="dxa"/>
              <w:left w:w="40" w:type="dxa"/>
              <w:bottom w:w="40" w:type="dxa"/>
              <w:right w:w="40" w:type="dxa"/>
            </w:tcMar>
            <w:vAlign w:val="bottom"/>
          </w:tcPr>
          <w:p w14:paraId="6CE09BD7" w14:textId="77777777" w:rsidR="00170CFB" w:rsidRPr="00983855" w:rsidRDefault="000C6D32" w:rsidP="00312CCF">
            <w:pPr>
              <w:jc w:val="right"/>
            </w:pPr>
            <w:r w:rsidRPr="00983855">
              <w:t>-0.12</w:t>
            </w:r>
          </w:p>
        </w:tc>
        <w:tc>
          <w:tcPr>
            <w:tcW w:w="1500" w:type="dxa"/>
            <w:shd w:val="clear" w:color="auto" w:fill="auto"/>
            <w:tcMar>
              <w:top w:w="40" w:type="dxa"/>
              <w:left w:w="40" w:type="dxa"/>
              <w:bottom w:w="40" w:type="dxa"/>
              <w:right w:w="40" w:type="dxa"/>
            </w:tcMar>
            <w:vAlign w:val="bottom"/>
          </w:tcPr>
          <w:p w14:paraId="7FC78249" w14:textId="77777777" w:rsidR="00170CFB" w:rsidRPr="00983855" w:rsidRDefault="000C6D32" w:rsidP="00312CCF">
            <w:pPr>
              <w:jc w:val="right"/>
            </w:pPr>
            <w:r w:rsidRPr="00983855">
              <w:t>-0.57</w:t>
            </w:r>
          </w:p>
        </w:tc>
        <w:tc>
          <w:tcPr>
            <w:tcW w:w="1500" w:type="dxa"/>
            <w:shd w:val="clear" w:color="auto" w:fill="auto"/>
            <w:tcMar>
              <w:top w:w="40" w:type="dxa"/>
              <w:left w:w="40" w:type="dxa"/>
              <w:bottom w:w="40" w:type="dxa"/>
              <w:right w:w="40" w:type="dxa"/>
            </w:tcMar>
            <w:vAlign w:val="bottom"/>
          </w:tcPr>
          <w:p w14:paraId="23DE1C0A" w14:textId="77777777" w:rsidR="00170CFB" w:rsidRPr="00983855" w:rsidRDefault="000C6D32" w:rsidP="00312CCF">
            <w:pPr>
              <w:jc w:val="right"/>
            </w:pPr>
            <w:r w:rsidRPr="00983855">
              <w:t>-0.32</w:t>
            </w:r>
          </w:p>
        </w:tc>
        <w:tc>
          <w:tcPr>
            <w:tcW w:w="1500" w:type="dxa"/>
            <w:shd w:val="clear" w:color="auto" w:fill="auto"/>
            <w:tcMar>
              <w:top w:w="40" w:type="dxa"/>
              <w:left w:w="40" w:type="dxa"/>
              <w:bottom w:w="40" w:type="dxa"/>
              <w:right w:w="40" w:type="dxa"/>
            </w:tcMar>
            <w:vAlign w:val="bottom"/>
          </w:tcPr>
          <w:p w14:paraId="1AE6664E" w14:textId="77777777" w:rsidR="00170CFB" w:rsidRPr="00983855" w:rsidRDefault="000C6D32" w:rsidP="00312CCF">
            <w:pPr>
              <w:jc w:val="right"/>
            </w:pPr>
            <w:r w:rsidRPr="00983855">
              <w:t>-3.01</w:t>
            </w:r>
          </w:p>
        </w:tc>
        <w:tc>
          <w:tcPr>
            <w:tcW w:w="1500" w:type="dxa"/>
            <w:shd w:val="clear" w:color="auto" w:fill="auto"/>
            <w:tcMar>
              <w:top w:w="40" w:type="dxa"/>
              <w:left w:w="40" w:type="dxa"/>
              <w:bottom w:w="40" w:type="dxa"/>
              <w:right w:w="40" w:type="dxa"/>
            </w:tcMar>
            <w:vAlign w:val="bottom"/>
          </w:tcPr>
          <w:p w14:paraId="13EF7A6E" w14:textId="77777777" w:rsidR="00170CFB" w:rsidRPr="00983855" w:rsidRDefault="000C6D32" w:rsidP="00312CCF">
            <w:pPr>
              <w:jc w:val="right"/>
            </w:pPr>
            <w:r w:rsidRPr="00983855">
              <w:t>-1.72</w:t>
            </w:r>
          </w:p>
        </w:tc>
      </w:tr>
      <w:tr w:rsidR="00170CFB" w:rsidRPr="00983855" w14:paraId="414941E9" w14:textId="77777777" w:rsidTr="00AF1C88">
        <w:trPr>
          <w:trHeight w:val="300"/>
          <w:jc w:val="center"/>
        </w:trPr>
        <w:tc>
          <w:tcPr>
            <w:tcW w:w="1500" w:type="dxa"/>
            <w:shd w:val="clear" w:color="auto" w:fill="auto"/>
            <w:tcMar>
              <w:top w:w="40" w:type="dxa"/>
              <w:left w:w="40" w:type="dxa"/>
              <w:bottom w:w="40" w:type="dxa"/>
              <w:right w:w="40" w:type="dxa"/>
            </w:tcMar>
            <w:vAlign w:val="bottom"/>
          </w:tcPr>
          <w:p w14:paraId="47AD0A9D" w14:textId="77777777" w:rsidR="00170CFB" w:rsidRPr="00983855" w:rsidRDefault="000C6D32">
            <w:r w:rsidRPr="00983855">
              <w:t>95% CI Max</w:t>
            </w:r>
          </w:p>
        </w:tc>
        <w:tc>
          <w:tcPr>
            <w:tcW w:w="1500" w:type="dxa"/>
            <w:shd w:val="clear" w:color="auto" w:fill="auto"/>
            <w:tcMar>
              <w:top w:w="40" w:type="dxa"/>
              <w:left w:w="40" w:type="dxa"/>
              <w:bottom w:w="40" w:type="dxa"/>
              <w:right w:w="40" w:type="dxa"/>
            </w:tcMar>
            <w:vAlign w:val="bottom"/>
          </w:tcPr>
          <w:p w14:paraId="547CFBFB" w14:textId="77777777" w:rsidR="00170CFB" w:rsidRPr="00983855" w:rsidRDefault="000C6D32" w:rsidP="00312CCF">
            <w:pPr>
              <w:jc w:val="right"/>
            </w:pPr>
            <w:r w:rsidRPr="00983855">
              <w:t>0.08</w:t>
            </w:r>
          </w:p>
        </w:tc>
        <w:tc>
          <w:tcPr>
            <w:tcW w:w="1500" w:type="dxa"/>
            <w:shd w:val="clear" w:color="auto" w:fill="auto"/>
            <w:tcMar>
              <w:top w:w="40" w:type="dxa"/>
              <w:left w:w="40" w:type="dxa"/>
              <w:bottom w:w="40" w:type="dxa"/>
              <w:right w:w="40" w:type="dxa"/>
            </w:tcMar>
            <w:vAlign w:val="bottom"/>
          </w:tcPr>
          <w:p w14:paraId="59DBA8F2" w14:textId="77777777" w:rsidR="00170CFB" w:rsidRPr="00983855" w:rsidRDefault="000C6D32" w:rsidP="00312CCF">
            <w:pPr>
              <w:jc w:val="right"/>
            </w:pPr>
            <w:r w:rsidRPr="00983855">
              <w:t>0.03</w:t>
            </w:r>
          </w:p>
        </w:tc>
        <w:tc>
          <w:tcPr>
            <w:tcW w:w="1500" w:type="dxa"/>
            <w:shd w:val="clear" w:color="auto" w:fill="auto"/>
            <w:tcMar>
              <w:top w:w="40" w:type="dxa"/>
              <w:left w:w="40" w:type="dxa"/>
              <w:bottom w:w="40" w:type="dxa"/>
              <w:right w:w="40" w:type="dxa"/>
            </w:tcMar>
            <w:vAlign w:val="bottom"/>
          </w:tcPr>
          <w:p w14:paraId="5AED20CE" w14:textId="77777777" w:rsidR="00170CFB" w:rsidRPr="00983855" w:rsidRDefault="000C6D32" w:rsidP="00312CCF">
            <w:pPr>
              <w:jc w:val="right"/>
            </w:pPr>
            <w:r w:rsidRPr="00983855">
              <w:t>0.29</w:t>
            </w:r>
          </w:p>
        </w:tc>
        <w:tc>
          <w:tcPr>
            <w:tcW w:w="1500" w:type="dxa"/>
            <w:shd w:val="clear" w:color="auto" w:fill="auto"/>
            <w:tcMar>
              <w:top w:w="40" w:type="dxa"/>
              <w:left w:w="40" w:type="dxa"/>
              <w:bottom w:w="40" w:type="dxa"/>
              <w:right w:w="40" w:type="dxa"/>
            </w:tcMar>
            <w:vAlign w:val="bottom"/>
          </w:tcPr>
          <w:p w14:paraId="56107752" w14:textId="77777777" w:rsidR="00170CFB" w:rsidRPr="00983855" w:rsidRDefault="000C6D32" w:rsidP="00312CCF">
            <w:pPr>
              <w:jc w:val="right"/>
            </w:pPr>
            <w:r w:rsidRPr="00983855">
              <w:t>0.23</w:t>
            </w:r>
          </w:p>
        </w:tc>
        <w:tc>
          <w:tcPr>
            <w:tcW w:w="1500" w:type="dxa"/>
            <w:shd w:val="clear" w:color="auto" w:fill="auto"/>
            <w:tcMar>
              <w:top w:w="40" w:type="dxa"/>
              <w:left w:w="40" w:type="dxa"/>
              <w:bottom w:w="40" w:type="dxa"/>
              <w:right w:w="40" w:type="dxa"/>
            </w:tcMar>
            <w:vAlign w:val="bottom"/>
          </w:tcPr>
          <w:p w14:paraId="50BE61A0" w14:textId="77777777" w:rsidR="00170CFB" w:rsidRPr="00983855" w:rsidRDefault="000C6D32" w:rsidP="00312CCF">
            <w:pPr>
              <w:jc w:val="right"/>
            </w:pPr>
            <w:r w:rsidRPr="00983855">
              <w:t>3.73</w:t>
            </w:r>
          </w:p>
        </w:tc>
        <w:tc>
          <w:tcPr>
            <w:tcW w:w="1500" w:type="dxa"/>
            <w:shd w:val="clear" w:color="auto" w:fill="auto"/>
            <w:tcMar>
              <w:top w:w="40" w:type="dxa"/>
              <w:left w:w="40" w:type="dxa"/>
              <w:bottom w:w="40" w:type="dxa"/>
              <w:right w:w="40" w:type="dxa"/>
            </w:tcMar>
            <w:vAlign w:val="bottom"/>
          </w:tcPr>
          <w:p w14:paraId="32B412FD" w14:textId="77777777" w:rsidR="00170CFB" w:rsidRPr="00983855" w:rsidRDefault="000C6D32" w:rsidP="00312CCF">
            <w:pPr>
              <w:jc w:val="right"/>
            </w:pPr>
            <w:r w:rsidRPr="00983855">
              <w:t>3.82</w:t>
            </w:r>
          </w:p>
        </w:tc>
      </w:tr>
    </w:tbl>
    <w:p w14:paraId="7099E1BF" w14:textId="77777777" w:rsidR="00855B79" w:rsidRPr="00983855" w:rsidRDefault="00855B79" w:rsidP="00983855">
      <w:bookmarkStart w:id="3" w:name="_p0qgg4yea1el" w:colFirst="0" w:colLast="0"/>
      <w:bookmarkEnd w:id="3"/>
    </w:p>
    <w:p w14:paraId="2083AEF8" w14:textId="4B1E4383" w:rsidR="00A161CD" w:rsidRPr="00983855" w:rsidRDefault="00A161CD" w:rsidP="002F3FF4">
      <w:pPr>
        <w:pStyle w:val="Heading1"/>
        <w:spacing w:line="480" w:lineRule="auto"/>
        <w:rPr>
          <w:rFonts w:ascii="Cambria" w:eastAsia="Cambria" w:hAnsi="Cambria" w:cs="Cambria"/>
          <w:b/>
          <w:sz w:val="24"/>
          <w:szCs w:val="24"/>
          <w:lang w:eastAsia="zh-CN"/>
        </w:rPr>
      </w:pPr>
      <w:bookmarkStart w:id="4" w:name="_Toc515773207"/>
      <w:r w:rsidRPr="00983855">
        <w:rPr>
          <w:rFonts w:ascii="Cambria" w:eastAsia="Cambria" w:hAnsi="Cambria" w:cs="Cambria"/>
          <w:b/>
          <w:sz w:val="24"/>
          <w:szCs w:val="24"/>
        </w:rPr>
        <w:lastRenderedPageBreak/>
        <w:t xml:space="preserve">3. </w:t>
      </w:r>
      <w:r w:rsidR="00043A87" w:rsidRPr="00983855">
        <w:rPr>
          <w:rFonts w:ascii="Cambria" w:eastAsia="Cambria" w:hAnsi="Cambria" w:cs="Cambria" w:hint="eastAsia"/>
          <w:b/>
          <w:sz w:val="24"/>
          <w:szCs w:val="24"/>
          <w:lang w:eastAsia="zh-CN"/>
        </w:rPr>
        <w:t>T</w:t>
      </w:r>
      <w:r w:rsidRPr="00983855">
        <w:rPr>
          <w:rFonts w:ascii="Cambria" w:eastAsia="Cambria" w:hAnsi="Cambria" w:cs="Cambria"/>
          <w:b/>
          <w:sz w:val="24"/>
          <w:szCs w:val="24"/>
        </w:rPr>
        <w:t>h</w:t>
      </w:r>
      <w:r w:rsidR="00043A87" w:rsidRPr="00983855">
        <w:rPr>
          <w:rFonts w:ascii="Cambria" w:eastAsia="Cambria" w:hAnsi="Cambria" w:cs="Cambria" w:hint="eastAsia"/>
          <w:b/>
          <w:sz w:val="24"/>
          <w:szCs w:val="24"/>
          <w:lang w:eastAsia="zh-CN"/>
        </w:rPr>
        <w:t>e incidence</w:t>
      </w:r>
      <w:r w:rsidR="004378B0" w:rsidRPr="00983855">
        <w:rPr>
          <w:rFonts w:ascii="Cambria" w:eastAsia="Cambria" w:hAnsi="Cambria" w:cs="Cambria"/>
          <w:b/>
          <w:sz w:val="24"/>
          <w:szCs w:val="24"/>
        </w:rPr>
        <w:t xml:space="preserve"> of being hypertensive</w:t>
      </w:r>
      <w:bookmarkEnd w:id="4"/>
    </w:p>
    <w:p w14:paraId="1505FC77" w14:textId="46661587" w:rsidR="00BE77B8" w:rsidRPr="00983855" w:rsidRDefault="00B27246" w:rsidP="003C27DF">
      <w:pPr>
        <w:spacing w:line="480" w:lineRule="auto"/>
        <w:ind w:firstLine="720"/>
        <w:rPr>
          <w:lang w:eastAsia="zh-CN"/>
        </w:rPr>
      </w:pPr>
      <w:r w:rsidRPr="00983855">
        <w:rPr>
          <w:rFonts w:hint="eastAsia"/>
        </w:rPr>
        <w:t>The sex-specific prevalence of hypertension in the age group of 20 to 30 years</w:t>
      </w:r>
      <w:r w:rsidRPr="00983855">
        <w:rPr>
          <w:rFonts w:hint="eastAsia"/>
          <w:lang w:eastAsia="zh-CN"/>
        </w:rPr>
        <w:t xml:space="preserve"> was about 9.7% in males and 3.8% in fem</w:t>
      </w:r>
      <w:r w:rsidR="002A6959">
        <w:rPr>
          <w:rFonts w:hint="eastAsia"/>
          <w:lang w:eastAsia="zh-CN"/>
        </w:rPr>
        <w:t xml:space="preserve">ales in China </w:t>
      </w:r>
      <w:r w:rsidR="00DC1543">
        <w:rPr>
          <w:rFonts w:hint="eastAsia"/>
          <w:lang w:eastAsia="zh-CN"/>
        </w:rPr>
        <w:t>[4]</w:t>
      </w:r>
      <w:r w:rsidRPr="00983855">
        <w:rPr>
          <w:rFonts w:hint="eastAsia"/>
          <w:lang w:eastAsia="zh-CN"/>
        </w:rPr>
        <w:t xml:space="preserve">. Therefore, we assumed that the </w:t>
      </w:r>
      <w:r w:rsidR="000147E9" w:rsidRPr="00983855">
        <w:rPr>
          <w:rFonts w:hint="eastAsia"/>
          <w:lang w:eastAsia="zh-CN"/>
        </w:rPr>
        <w:t xml:space="preserve">20-year-old </w:t>
      </w:r>
      <w:r w:rsidRPr="00983855">
        <w:rPr>
          <w:rFonts w:hint="eastAsia"/>
          <w:lang w:eastAsia="zh-CN"/>
        </w:rPr>
        <w:t>male</w:t>
      </w:r>
      <w:r w:rsidR="00C23861" w:rsidRPr="00983855">
        <w:rPr>
          <w:rFonts w:hint="eastAsia"/>
          <w:lang w:eastAsia="zh-CN"/>
        </w:rPr>
        <w:t xml:space="preserve"> and </w:t>
      </w:r>
      <w:r w:rsidR="000147E9" w:rsidRPr="00983855">
        <w:rPr>
          <w:rFonts w:hint="eastAsia"/>
          <w:lang w:eastAsia="zh-CN"/>
        </w:rPr>
        <w:t xml:space="preserve">female </w:t>
      </w:r>
      <w:r w:rsidR="00C23861" w:rsidRPr="00983855">
        <w:rPr>
          <w:rFonts w:hint="eastAsia"/>
          <w:lang w:eastAsia="zh-CN"/>
        </w:rPr>
        <w:t xml:space="preserve">in the hypothetical cohort had a 9.7% </w:t>
      </w:r>
      <w:r w:rsidR="000147E9" w:rsidRPr="00983855">
        <w:rPr>
          <w:rFonts w:hint="eastAsia"/>
          <w:lang w:eastAsia="zh-CN"/>
        </w:rPr>
        <w:t>and 3.8%</w:t>
      </w:r>
      <w:r w:rsidR="00C23861" w:rsidRPr="00983855">
        <w:rPr>
          <w:rFonts w:hint="eastAsia"/>
          <w:lang w:eastAsia="zh-CN"/>
        </w:rPr>
        <w:t xml:space="preserve"> </w:t>
      </w:r>
      <w:r w:rsidR="000147E9" w:rsidRPr="00983855">
        <w:rPr>
          <w:rFonts w:hint="eastAsia"/>
          <w:lang w:eastAsia="zh-CN"/>
        </w:rPr>
        <w:t xml:space="preserve">respectively of being hypertensive. </w:t>
      </w:r>
      <w:r w:rsidR="00A11E2E" w:rsidRPr="00983855">
        <w:rPr>
          <w:rFonts w:hint="eastAsia"/>
          <w:lang w:eastAsia="zh-CN"/>
        </w:rPr>
        <w:t>Liang et al (2014) estimated the age-specific incidence of hypertension among Chinese aged at least 18 years between 2004 and 2009</w:t>
      </w:r>
      <w:r w:rsidR="00DC1543">
        <w:rPr>
          <w:rFonts w:hint="eastAsia"/>
          <w:lang w:eastAsia="zh-CN"/>
        </w:rPr>
        <w:t xml:space="preserve"> </w:t>
      </w:r>
      <w:r w:rsidR="00A11E2E" w:rsidRPr="00983855">
        <w:rPr>
          <w:rFonts w:hint="eastAsia"/>
          <w:lang w:eastAsia="zh-CN"/>
        </w:rPr>
        <w:t>(</w:t>
      </w:r>
      <w:r w:rsidR="00490C03">
        <w:rPr>
          <w:lang w:eastAsia="zh-CN"/>
        </w:rPr>
        <w:t xml:space="preserve">See </w:t>
      </w:r>
      <w:r w:rsidR="00A11E2E" w:rsidRPr="00983855">
        <w:rPr>
          <w:rFonts w:hint="eastAsia"/>
          <w:lang w:eastAsia="zh-CN"/>
        </w:rPr>
        <w:t>Table</w:t>
      </w:r>
      <w:r w:rsidR="00490C03">
        <w:rPr>
          <w:rFonts w:hint="eastAsia"/>
          <w:lang w:eastAsia="zh-CN"/>
        </w:rPr>
        <w:t xml:space="preserve"> C</w:t>
      </w:r>
      <w:r w:rsidR="00A11E2E" w:rsidRPr="00983855">
        <w:rPr>
          <w:rFonts w:hint="eastAsia"/>
          <w:lang w:eastAsia="zh-CN"/>
        </w:rPr>
        <w:t>)</w:t>
      </w:r>
      <w:r w:rsidR="00DC1543" w:rsidRPr="00DC1543">
        <w:rPr>
          <w:rFonts w:hint="eastAsia"/>
          <w:lang w:eastAsia="zh-CN"/>
        </w:rPr>
        <w:t xml:space="preserve"> </w:t>
      </w:r>
      <w:r w:rsidR="00DC1543">
        <w:rPr>
          <w:rFonts w:hint="eastAsia"/>
          <w:lang w:eastAsia="zh-CN"/>
        </w:rPr>
        <w:t>[5]</w:t>
      </w:r>
      <w:r w:rsidR="00A11E2E" w:rsidRPr="00983855">
        <w:rPr>
          <w:rFonts w:hint="eastAsia"/>
          <w:lang w:eastAsia="zh-CN"/>
        </w:rPr>
        <w:t xml:space="preserve">. </w:t>
      </w:r>
      <w:r w:rsidR="00BE77B8" w:rsidRPr="00983855">
        <w:rPr>
          <w:rFonts w:hint="eastAsia"/>
          <w:lang w:eastAsia="zh-CN"/>
        </w:rPr>
        <w:t>We assumed that each person contributes 1 person-year to the denominator of the incid</w:t>
      </w:r>
      <w:r w:rsidR="000147E9" w:rsidRPr="00983855">
        <w:rPr>
          <w:rFonts w:hint="eastAsia"/>
          <w:lang w:eastAsia="zh-CN"/>
        </w:rPr>
        <w:t>ence and the</w:t>
      </w:r>
      <w:r w:rsidR="00BE77B8" w:rsidRPr="00983855">
        <w:rPr>
          <w:rFonts w:hint="eastAsia"/>
        </w:rPr>
        <w:t xml:space="preserve"> hypothetical cohort was exposed to the age-specific probability of hypertension</w:t>
      </w:r>
      <w:r w:rsidR="000147E9" w:rsidRPr="00983855">
        <w:rPr>
          <w:rFonts w:hint="eastAsia"/>
          <w:lang w:eastAsia="zh-CN"/>
        </w:rPr>
        <w:t xml:space="preserve"> after 20 years old</w:t>
      </w:r>
      <w:r w:rsidR="00BE77B8" w:rsidRPr="00983855">
        <w:rPr>
          <w:rFonts w:hint="eastAsia"/>
          <w:lang w:eastAsia="zh-CN"/>
        </w:rPr>
        <w:t>.</w:t>
      </w:r>
    </w:p>
    <w:p w14:paraId="352EB294" w14:textId="1C1712F3" w:rsidR="00526A6F" w:rsidRPr="00983855" w:rsidRDefault="004378B0" w:rsidP="003C27DF">
      <w:pPr>
        <w:spacing w:line="360" w:lineRule="auto"/>
        <w:rPr>
          <w:b/>
          <w:lang w:eastAsia="zh-CN"/>
        </w:rPr>
      </w:pPr>
      <w:r w:rsidRPr="00983855">
        <w:rPr>
          <w:b/>
        </w:rPr>
        <w:t>Table</w:t>
      </w:r>
      <w:r w:rsidR="00610B84">
        <w:rPr>
          <w:rFonts w:hint="eastAsia"/>
          <w:b/>
          <w:lang w:eastAsia="zh-CN"/>
        </w:rPr>
        <w:t xml:space="preserve"> C</w:t>
      </w:r>
      <w:r w:rsidRPr="00983855">
        <w:rPr>
          <w:b/>
        </w:rPr>
        <w:t xml:space="preserve">. Age-specific </w:t>
      </w:r>
      <w:r w:rsidR="0020419D" w:rsidRPr="00983855">
        <w:rPr>
          <w:b/>
          <w:lang w:eastAsia="zh-CN"/>
        </w:rPr>
        <w:t>incidence</w:t>
      </w:r>
      <w:r w:rsidR="00AD6A24" w:rsidRPr="00983855">
        <w:rPr>
          <w:b/>
        </w:rPr>
        <w:t xml:space="preserve"> of hypertension </w:t>
      </w:r>
      <w:r w:rsidR="00A11E2E" w:rsidRPr="00983855">
        <w:rPr>
          <w:b/>
        </w:rPr>
        <w:t xml:space="preserve">among Chinese </w:t>
      </w:r>
      <w:r w:rsidR="00A11E2E" w:rsidRPr="00983855">
        <w:rPr>
          <w:b/>
          <w:lang w:eastAsia="zh-CN"/>
        </w:rPr>
        <w:t>adults (age&gt;=18 years)</w:t>
      </w:r>
      <w:r w:rsidR="00855B79" w:rsidRPr="00983855">
        <w:rPr>
          <w:b/>
          <w:lang w:eastAsia="zh-CN"/>
        </w:rPr>
        <w:t xml:space="preserve"> </w:t>
      </w:r>
      <w:r w:rsidR="00A11E2E" w:rsidRPr="00983855">
        <w:rPr>
          <w:b/>
          <w:lang w:eastAsia="zh-CN"/>
        </w:rPr>
        <w:t>between 2004 and 2009 (n=4523)</w:t>
      </w:r>
    </w:p>
    <w:tbl>
      <w:tblPr>
        <w:tblStyle w:val="a"/>
        <w:tblW w:w="8071" w:type="dxa"/>
        <w:jc w:val="center"/>
        <w:tblBorders>
          <w:top w:val="single" w:sz="12" w:space="0" w:color="000000"/>
          <w:bottom w:val="single" w:sz="12" w:space="0" w:color="000000"/>
        </w:tblBorders>
        <w:tblLayout w:type="fixed"/>
        <w:tblLook w:val="0400" w:firstRow="0" w:lastRow="0" w:firstColumn="0" w:lastColumn="0" w:noHBand="0" w:noVBand="1"/>
      </w:tblPr>
      <w:tblGrid>
        <w:gridCol w:w="4216"/>
        <w:gridCol w:w="3855"/>
      </w:tblGrid>
      <w:tr w:rsidR="002F3FF4" w:rsidRPr="00983855" w14:paraId="28D12D49" w14:textId="77777777" w:rsidTr="002F3FF4">
        <w:trPr>
          <w:jc w:val="center"/>
        </w:trPr>
        <w:tc>
          <w:tcPr>
            <w:tcW w:w="4216" w:type="dxa"/>
            <w:tcBorders>
              <w:top w:val="single" w:sz="18" w:space="0" w:color="000000"/>
              <w:bottom w:val="single" w:sz="12" w:space="0" w:color="000000"/>
            </w:tcBorders>
            <w:vAlign w:val="center"/>
          </w:tcPr>
          <w:p w14:paraId="36F07C9F" w14:textId="5F269588" w:rsidR="00AD6A24" w:rsidRPr="00983855" w:rsidRDefault="00526A6F" w:rsidP="00A11E2E">
            <w:pPr>
              <w:spacing w:line="360" w:lineRule="auto"/>
              <w:jc w:val="center"/>
              <w:rPr>
                <w:rFonts w:eastAsia="Times New Roman" w:cs="Times New Roman"/>
                <w:b/>
                <w:lang w:eastAsia="zh-CN"/>
              </w:rPr>
            </w:pPr>
            <w:r w:rsidRPr="00983855">
              <w:rPr>
                <w:rFonts w:eastAsia="Times New Roman" w:cs="Times New Roman"/>
                <w:b/>
              </w:rPr>
              <w:t xml:space="preserve">Age, </w:t>
            </w:r>
            <w:r w:rsidR="00A11E2E" w:rsidRPr="00983855">
              <w:rPr>
                <w:rFonts w:eastAsia="Times New Roman" w:cs="Times New Roman" w:hint="eastAsia"/>
                <w:b/>
                <w:lang w:eastAsia="zh-CN"/>
              </w:rPr>
              <w:t>years</w:t>
            </w:r>
          </w:p>
        </w:tc>
        <w:tc>
          <w:tcPr>
            <w:tcW w:w="3855" w:type="dxa"/>
            <w:tcBorders>
              <w:top w:val="single" w:sz="18" w:space="0" w:color="000000"/>
              <w:bottom w:val="single" w:sz="12" w:space="0" w:color="000000"/>
            </w:tcBorders>
            <w:vAlign w:val="center"/>
          </w:tcPr>
          <w:p w14:paraId="42E9A260" w14:textId="7D349AA0" w:rsidR="00AD6A24" w:rsidRPr="00983855" w:rsidRDefault="005A0D77" w:rsidP="00A11E2E">
            <w:pPr>
              <w:spacing w:line="360" w:lineRule="auto"/>
              <w:jc w:val="center"/>
              <w:rPr>
                <w:b/>
                <w:lang w:eastAsia="zh-CN"/>
              </w:rPr>
            </w:pPr>
            <w:r w:rsidRPr="00983855">
              <w:rPr>
                <w:rFonts w:eastAsia="Times New Roman" w:cs="Times New Roman" w:hint="eastAsia"/>
                <w:b/>
                <w:lang w:eastAsia="zh-CN"/>
              </w:rPr>
              <w:t>Incidence</w:t>
            </w:r>
            <w:r w:rsidR="00AD6A24" w:rsidRPr="00983855">
              <w:rPr>
                <w:rFonts w:eastAsia="Times New Roman" w:cs="Times New Roman"/>
                <w:b/>
              </w:rPr>
              <w:t xml:space="preserve"> </w:t>
            </w:r>
            <w:r w:rsidR="00A11E2E" w:rsidRPr="00983855">
              <w:rPr>
                <w:rFonts w:eastAsia="Times New Roman" w:cs="Times New Roman" w:hint="eastAsia"/>
                <w:b/>
                <w:lang w:eastAsia="zh-CN"/>
              </w:rPr>
              <w:t xml:space="preserve">rate </w:t>
            </w:r>
            <w:r w:rsidR="00AD6A24" w:rsidRPr="00983855">
              <w:rPr>
                <w:rFonts w:eastAsia="Times New Roman" w:cs="Times New Roman"/>
                <w:b/>
              </w:rPr>
              <w:t xml:space="preserve">of </w:t>
            </w:r>
            <w:r w:rsidR="00A11E2E" w:rsidRPr="00983855">
              <w:rPr>
                <w:rFonts w:eastAsia="Times New Roman" w:cs="Times New Roman" w:hint="eastAsia"/>
                <w:b/>
                <w:lang w:eastAsia="zh-CN"/>
              </w:rPr>
              <w:t>hypertension, per 100 person-years</w:t>
            </w:r>
          </w:p>
        </w:tc>
      </w:tr>
      <w:tr w:rsidR="002F3FF4" w:rsidRPr="00983855" w14:paraId="021EA775" w14:textId="77777777" w:rsidTr="002F3FF4">
        <w:trPr>
          <w:jc w:val="center"/>
        </w:trPr>
        <w:tc>
          <w:tcPr>
            <w:tcW w:w="4216" w:type="dxa"/>
            <w:tcBorders>
              <w:top w:val="single" w:sz="12" w:space="0" w:color="000000"/>
            </w:tcBorders>
            <w:vAlign w:val="center"/>
          </w:tcPr>
          <w:p w14:paraId="7BC321DB" w14:textId="4575E6F3" w:rsidR="00B05EFA" w:rsidRPr="00983855" w:rsidRDefault="00A11E2E" w:rsidP="00821C7F">
            <w:pPr>
              <w:spacing w:line="360" w:lineRule="auto"/>
              <w:jc w:val="center"/>
              <w:rPr>
                <w:rFonts w:eastAsia="Times New Roman" w:cs="Times New Roman"/>
              </w:rPr>
            </w:pPr>
            <w:r w:rsidRPr="00983855">
              <w:rPr>
                <w:rFonts w:eastAsia="Times New Roman" w:cs="Times New Roman"/>
              </w:rPr>
              <w:t>18-3</w:t>
            </w:r>
            <w:r w:rsidR="00B05EFA" w:rsidRPr="00983855">
              <w:rPr>
                <w:rFonts w:eastAsia="Times New Roman" w:cs="Times New Roman"/>
              </w:rPr>
              <w:t>9</w:t>
            </w:r>
          </w:p>
        </w:tc>
        <w:tc>
          <w:tcPr>
            <w:tcW w:w="3855" w:type="dxa"/>
            <w:tcBorders>
              <w:top w:val="single" w:sz="12" w:space="0" w:color="000000"/>
            </w:tcBorders>
            <w:vAlign w:val="bottom"/>
          </w:tcPr>
          <w:p w14:paraId="07F6D4AF" w14:textId="0E7010D2" w:rsidR="00B05EFA" w:rsidRPr="00983855" w:rsidRDefault="00A11E2E" w:rsidP="00526A6F">
            <w:pPr>
              <w:spacing w:line="360" w:lineRule="auto"/>
              <w:jc w:val="right"/>
              <w:rPr>
                <w:lang w:eastAsia="zh-CN"/>
              </w:rPr>
            </w:pPr>
            <w:r w:rsidRPr="00983855">
              <w:rPr>
                <w:rFonts w:ascii="Times New Roman" w:eastAsia="Times New Roman" w:hAnsi="Times New Roman" w:cs="Times New Roman"/>
              </w:rPr>
              <w:t>2.6</w:t>
            </w:r>
          </w:p>
        </w:tc>
      </w:tr>
      <w:tr w:rsidR="002F3FF4" w:rsidRPr="00983855" w14:paraId="6849C0B4" w14:textId="77777777" w:rsidTr="002F3FF4">
        <w:trPr>
          <w:jc w:val="center"/>
        </w:trPr>
        <w:tc>
          <w:tcPr>
            <w:tcW w:w="4216" w:type="dxa"/>
            <w:vAlign w:val="center"/>
          </w:tcPr>
          <w:p w14:paraId="6D0AE7E0" w14:textId="0722D43F" w:rsidR="00B05EFA" w:rsidRPr="00983855" w:rsidRDefault="00A11E2E" w:rsidP="00821C7F">
            <w:pPr>
              <w:spacing w:line="360" w:lineRule="auto"/>
              <w:jc w:val="center"/>
              <w:rPr>
                <w:rFonts w:eastAsia="Times New Roman" w:cs="Times New Roman"/>
                <w:lang w:eastAsia="zh-CN"/>
              </w:rPr>
            </w:pPr>
            <w:r w:rsidRPr="00983855">
              <w:rPr>
                <w:rFonts w:eastAsia="Times New Roman" w:cs="Times New Roman" w:hint="eastAsia"/>
                <w:lang w:eastAsia="zh-CN"/>
              </w:rPr>
              <w:t>40-59</w:t>
            </w:r>
          </w:p>
        </w:tc>
        <w:tc>
          <w:tcPr>
            <w:tcW w:w="3855" w:type="dxa"/>
            <w:vAlign w:val="bottom"/>
          </w:tcPr>
          <w:p w14:paraId="566E7B4E" w14:textId="36159191" w:rsidR="00B05EFA" w:rsidRPr="00983855" w:rsidRDefault="00A11E2E" w:rsidP="00526A6F">
            <w:pPr>
              <w:spacing w:line="360" w:lineRule="auto"/>
              <w:jc w:val="right"/>
              <w:rPr>
                <w:lang w:eastAsia="zh-CN"/>
              </w:rPr>
            </w:pPr>
            <w:r w:rsidRPr="00983855">
              <w:rPr>
                <w:rFonts w:ascii="Times New Roman" w:eastAsia="Times New Roman" w:hAnsi="Times New Roman" w:cs="Times New Roman"/>
              </w:rPr>
              <w:t>5.7</w:t>
            </w:r>
          </w:p>
        </w:tc>
      </w:tr>
      <w:tr w:rsidR="002F3FF4" w:rsidRPr="00983855" w14:paraId="6C6462E6" w14:textId="77777777" w:rsidTr="002F3FF4">
        <w:trPr>
          <w:jc w:val="center"/>
        </w:trPr>
        <w:tc>
          <w:tcPr>
            <w:tcW w:w="4216" w:type="dxa"/>
            <w:tcBorders>
              <w:bottom w:val="single" w:sz="8" w:space="0" w:color="000000"/>
            </w:tcBorders>
            <w:vAlign w:val="center"/>
          </w:tcPr>
          <w:p w14:paraId="7072A642" w14:textId="399C3AF9" w:rsidR="00B05EFA" w:rsidRPr="00983855" w:rsidRDefault="00A11E2E" w:rsidP="00821C7F">
            <w:pPr>
              <w:spacing w:line="360" w:lineRule="auto"/>
              <w:jc w:val="center"/>
              <w:rPr>
                <w:rFonts w:eastAsia="Times New Roman" w:cs="Times New Roman"/>
              </w:rPr>
            </w:pPr>
            <w:r w:rsidRPr="00983855">
              <w:rPr>
                <w:rFonts w:eastAsia="Times New Roman" w:cs="Times New Roman" w:hint="eastAsia"/>
                <w:lang w:eastAsia="zh-CN"/>
              </w:rPr>
              <w:t>60 or above</w:t>
            </w:r>
          </w:p>
        </w:tc>
        <w:tc>
          <w:tcPr>
            <w:tcW w:w="3855" w:type="dxa"/>
            <w:tcBorders>
              <w:bottom w:val="single" w:sz="8" w:space="0" w:color="000000"/>
            </w:tcBorders>
            <w:vAlign w:val="bottom"/>
          </w:tcPr>
          <w:p w14:paraId="79612F41" w14:textId="5646D8D3" w:rsidR="00B05EFA" w:rsidRPr="00983855" w:rsidRDefault="00A11E2E" w:rsidP="00526A6F">
            <w:pPr>
              <w:spacing w:line="360" w:lineRule="auto"/>
              <w:jc w:val="right"/>
              <w:rPr>
                <w:lang w:eastAsia="zh-CN"/>
              </w:rPr>
            </w:pPr>
            <w:r w:rsidRPr="00983855">
              <w:rPr>
                <w:rFonts w:ascii="Times New Roman" w:eastAsia="Times New Roman" w:hAnsi="Times New Roman" w:cs="Times New Roman"/>
              </w:rPr>
              <w:t>11.0</w:t>
            </w:r>
          </w:p>
        </w:tc>
      </w:tr>
      <w:tr w:rsidR="00A11E2E" w:rsidRPr="00983855" w14:paraId="6C627BF0" w14:textId="77777777" w:rsidTr="00983855">
        <w:trPr>
          <w:jc w:val="center"/>
        </w:trPr>
        <w:tc>
          <w:tcPr>
            <w:tcW w:w="8071" w:type="dxa"/>
            <w:gridSpan w:val="2"/>
            <w:tcBorders>
              <w:top w:val="single" w:sz="8" w:space="0" w:color="000000"/>
              <w:bottom w:val="single" w:sz="18" w:space="0" w:color="000000"/>
            </w:tcBorders>
            <w:vAlign w:val="center"/>
          </w:tcPr>
          <w:p w14:paraId="64744AC3" w14:textId="010A4396" w:rsidR="00B05EFA" w:rsidRPr="00983855" w:rsidRDefault="00B05EFA" w:rsidP="00A621E1">
            <w:pPr>
              <w:spacing w:line="360" w:lineRule="auto"/>
              <w:rPr>
                <w:lang w:eastAsia="zh-CN"/>
              </w:rPr>
            </w:pPr>
            <w:r w:rsidRPr="00983855">
              <w:t xml:space="preserve">Source: </w:t>
            </w:r>
            <w:r w:rsidR="000147E9" w:rsidRPr="00983855">
              <w:rPr>
                <w:rFonts w:hint="eastAsia"/>
                <w:lang w:eastAsia="zh-CN"/>
              </w:rPr>
              <w:t xml:space="preserve">Adjusted from </w:t>
            </w:r>
            <w:r w:rsidR="0020419D" w:rsidRPr="00983855">
              <w:rPr>
                <w:rFonts w:hint="eastAsia"/>
                <w:lang w:eastAsia="zh-CN"/>
              </w:rPr>
              <w:t>Liang et al., 2014, International Journal of Cardiology.</w:t>
            </w:r>
          </w:p>
        </w:tc>
      </w:tr>
    </w:tbl>
    <w:p w14:paraId="5666FEEF" w14:textId="3556D5C7" w:rsidR="00651BC4" w:rsidRPr="00983855" w:rsidRDefault="00A161CD" w:rsidP="00983855">
      <w:pPr>
        <w:pStyle w:val="Heading1"/>
        <w:spacing w:before="120" w:line="480" w:lineRule="auto"/>
        <w:rPr>
          <w:rFonts w:ascii="Cambria" w:eastAsia="Cambria" w:hAnsi="Cambria" w:cs="Cambria"/>
          <w:b/>
          <w:sz w:val="24"/>
          <w:szCs w:val="24"/>
        </w:rPr>
      </w:pPr>
      <w:bookmarkStart w:id="5" w:name="_Toc515773208"/>
      <w:r w:rsidRPr="00983855">
        <w:rPr>
          <w:rFonts w:ascii="Cambria" w:eastAsia="Cambria" w:hAnsi="Cambria" w:cs="Cambria"/>
          <w:b/>
          <w:sz w:val="24"/>
          <w:szCs w:val="24"/>
        </w:rPr>
        <w:lastRenderedPageBreak/>
        <w:t>4</w:t>
      </w:r>
      <w:r w:rsidR="00651BC4" w:rsidRPr="00983855">
        <w:rPr>
          <w:rFonts w:ascii="Cambria" w:eastAsia="Cambria" w:hAnsi="Cambria" w:cs="Cambria"/>
          <w:b/>
          <w:sz w:val="24"/>
          <w:szCs w:val="24"/>
        </w:rPr>
        <w:t xml:space="preserve">. </w:t>
      </w:r>
      <w:r w:rsidR="00043A87" w:rsidRPr="00983855">
        <w:rPr>
          <w:rFonts w:ascii="Cambria" w:eastAsia="Cambria" w:hAnsi="Cambria" w:cs="Cambria" w:hint="eastAsia"/>
          <w:b/>
          <w:sz w:val="24"/>
          <w:szCs w:val="24"/>
          <w:lang w:eastAsia="zh-CN"/>
        </w:rPr>
        <w:t>T</w:t>
      </w:r>
      <w:r w:rsidR="00651BC4" w:rsidRPr="00983855">
        <w:rPr>
          <w:rFonts w:ascii="Cambria" w:eastAsia="Cambria" w:hAnsi="Cambria" w:cs="Cambria"/>
          <w:b/>
          <w:sz w:val="24"/>
          <w:szCs w:val="24"/>
        </w:rPr>
        <w:t>he estimat</w:t>
      </w:r>
      <w:r w:rsidR="00C958D9" w:rsidRPr="00983855">
        <w:rPr>
          <w:rFonts w:ascii="Cambria" w:eastAsia="Cambria" w:hAnsi="Cambria" w:cs="Cambria"/>
          <w:b/>
          <w:sz w:val="24"/>
          <w:szCs w:val="24"/>
        </w:rPr>
        <w:t>ion</w:t>
      </w:r>
      <w:r w:rsidR="00651BC4" w:rsidRPr="00983855">
        <w:rPr>
          <w:rFonts w:ascii="Cambria" w:eastAsia="Cambria" w:hAnsi="Cambria" w:cs="Cambria"/>
          <w:b/>
          <w:sz w:val="24"/>
          <w:szCs w:val="24"/>
        </w:rPr>
        <w:t xml:space="preserve"> of </w:t>
      </w:r>
      <w:r w:rsidR="00C958D9" w:rsidRPr="00983855">
        <w:rPr>
          <w:rFonts w:ascii="Cambria" w:eastAsia="Cambria" w:hAnsi="Cambria" w:cs="Cambria"/>
          <w:b/>
          <w:sz w:val="24"/>
          <w:szCs w:val="24"/>
        </w:rPr>
        <w:t xml:space="preserve">total </w:t>
      </w:r>
      <w:r w:rsidR="00651BC4" w:rsidRPr="00983855">
        <w:rPr>
          <w:rFonts w:ascii="Cambria" w:eastAsia="Cambria" w:hAnsi="Cambria" w:cs="Cambria"/>
          <w:b/>
          <w:sz w:val="24"/>
          <w:szCs w:val="24"/>
        </w:rPr>
        <w:t xml:space="preserve">health expenditure </w:t>
      </w:r>
      <w:r w:rsidR="00C958D9" w:rsidRPr="00983855">
        <w:rPr>
          <w:rFonts w:ascii="Cambria" w:eastAsia="Cambria" w:hAnsi="Cambria" w:cs="Cambria"/>
          <w:b/>
          <w:sz w:val="24"/>
          <w:szCs w:val="24"/>
        </w:rPr>
        <w:t>per</w:t>
      </w:r>
      <w:r w:rsidR="00651BC4" w:rsidRPr="00983855">
        <w:rPr>
          <w:rFonts w:ascii="Cambria" w:eastAsia="Cambria" w:hAnsi="Cambria" w:cs="Cambria"/>
          <w:b/>
          <w:sz w:val="24"/>
          <w:szCs w:val="24"/>
        </w:rPr>
        <w:t xml:space="preserve"> rural residen</w:t>
      </w:r>
      <w:r w:rsidR="00C958D9" w:rsidRPr="00983855">
        <w:rPr>
          <w:rFonts w:ascii="Cambria" w:eastAsia="Cambria" w:hAnsi="Cambria" w:cs="Cambria"/>
          <w:b/>
          <w:sz w:val="24"/>
          <w:szCs w:val="24"/>
        </w:rPr>
        <w:t>t</w:t>
      </w:r>
      <w:r w:rsidR="00651BC4" w:rsidRPr="00983855">
        <w:rPr>
          <w:rFonts w:ascii="Cambria" w:eastAsia="Cambria" w:hAnsi="Cambria" w:cs="Cambria"/>
          <w:b/>
          <w:sz w:val="24"/>
          <w:szCs w:val="24"/>
        </w:rPr>
        <w:t xml:space="preserve"> </w:t>
      </w:r>
      <w:r w:rsidR="00C958D9" w:rsidRPr="00983855">
        <w:rPr>
          <w:rFonts w:ascii="Cambria" w:eastAsia="Cambria" w:hAnsi="Cambria" w:cs="Cambria"/>
          <w:b/>
          <w:sz w:val="24"/>
          <w:szCs w:val="24"/>
        </w:rPr>
        <w:t>by</w:t>
      </w:r>
      <w:r w:rsidR="00651BC4" w:rsidRPr="00983855">
        <w:rPr>
          <w:rFonts w:ascii="Cambria" w:eastAsia="Cambria" w:hAnsi="Cambria" w:cs="Cambria"/>
          <w:b/>
          <w:sz w:val="24"/>
          <w:szCs w:val="24"/>
        </w:rPr>
        <w:t xml:space="preserve"> provincial region</w:t>
      </w:r>
      <w:bookmarkEnd w:id="5"/>
      <w:r w:rsidR="00651BC4" w:rsidRPr="00983855">
        <w:rPr>
          <w:rFonts w:ascii="Cambria" w:eastAsia="Cambria" w:hAnsi="Cambria" w:cs="Cambria"/>
          <w:b/>
          <w:sz w:val="24"/>
          <w:szCs w:val="24"/>
        </w:rPr>
        <w:t xml:space="preserve"> </w:t>
      </w:r>
    </w:p>
    <w:p w14:paraId="7F4A80E9" w14:textId="2E28ACE5" w:rsidR="00FE0222" w:rsidRDefault="00651BC4" w:rsidP="0001796D">
      <w:pPr>
        <w:spacing w:line="480" w:lineRule="auto"/>
        <w:ind w:firstLine="720"/>
        <w:rPr>
          <w:lang w:eastAsia="zh-CN"/>
        </w:rPr>
      </w:pPr>
      <w:r w:rsidRPr="00983855">
        <w:t xml:space="preserve">The </w:t>
      </w:r>
      <w:r w:rsidR="00B6720F" w:rsidRPr="00983855">
        <w:t>NCMS is administered at the county level. Each country is responsible for designing benefit packages</w:t>
      </w:r>
      <w:r w:rsidR="00273395" w:rsidRPr="00983855">
        <w:t xml:space="preserve"> </w:t>
      </w:r>
      <w:r w:rsidR="00B6720F" w:rsidRPr="00983855">
        <w:t>and</w:t>
      </w:r>
      <w:r w:rsidR="00273395" w:rsidRPr="00983855">
        <w:t xml:space="preserve"> </w:t>
      </w:r>
      <w:r w:rsidR="00B6720F" w:rsidRPr="00983855">
        <w:t>implementing thei</w:t>
      </w:r>
      <w:r w:rsidR="00FE0222" w:rsidRPr="00983855">
        <w:t xml:space="preserve">r own health plans. Therefore, the </w:t>
      </w:r>
      <w:r w:rsidR="0041655E" w:rsidRPr="00983855">
        <w:t xml:space="preserve">total </w:t>
      </w:r>
      <w:r w:rsidR="00FE0222" w:rsidRPr="00983855">
        <w:t>health expenditure</w:t>
      </w:r>
      <w:r w:rsidR="00273395" w:rsidRPr="00983855">
        <w:t xml:space="preserve"> per rural resident</w:t>
      </w:r>
      <w:r w:rsidR="00FE0222" w:rsidRPr="00983855">
        <w:t xml:space="preserve"> </w:t>
      </w:r>
      <w:r w:rsidR="0041655E" w:rsidRPr="00983855">
        <w:t xml:space="preserve">(including out-of-pocket, social, and governmental expenditures) </w:t>
      </w:r>
      <w:r w:rsidR="00FE0222" w:rsidRPr="00983855">
        <w:t xml:space="preserve">might </w:t>
      </w:r>
      <w:r w:rsidR="00273395" w:rsidRPr="00983855">
        <w:t>vary</w:t>
      </w:r>
      <w:r w:rsidR="00FE0222" w:rsidRPr="00983855">
        <w:t xml:space="preserve"> by count</w:t>
      </w:r>
      <w:r w:rsidR="00273395" w:rsidRPr="00983855">
        <w:t>y</w:t>
      </w:r>
      <w:r w:rsidR="00FE0222" w:rsidRPr="00983855">
        <w:t xml:space="preserve">. However, we could not </w:t>
      </w:r>
      <w:r w:rsidR="0001796D" w:rsidRPr="00983855">
        <w:t>get</w:t>
      </w:r>
      <w:r w:rsidR="00FE0222" w:rsidRPr="00983855">
        <w:t xml:space="preserve"> </w:t>
      </w:r>
      <w:r w:rsidR="0001796D" w:rsidRPr="00983855">
        <w:t xml:space="preserve">county-level </w:t>
      </w:r>
      <w:r w:rsidR="00FE0222" w:rsidRPr="00983855">
        <w:t xml:space="preserve">data. </w:t>
      </w:r>
      <w:r w:rsidR="0001796D" w:rsidRPr="00983855">
        <w:t xml:space="preserve">In our analyses, </w:t>
      </w:r>
      <w:r w:rsidR="00FE0222" w:rsidRPr="00983855">
        <w:t xml:space="preserve">we </w:t>
      </w:r>
      <w:r w:rsidR="008B1B7B" w:rsidRPr="00983855">
        <w:t>considered</w:t>
      </w:r>
      <w:r w:rsidR="0001796D" w:rsidRPr="00983855">
        <w:t xml:space="preserve"> </w:t>
      </w:r>
      <w:r w:rsidR="00FE0222" w:rsidRPr="00983855">
        <w:t xml:space="preserve">the provincial difference of </w:t>
      </w:r>
      <w:r w:rsidR="0001796D" w:rsidRPr="00983855">
        <w:t xml:space="preserve">total </w:t>
      </w:r>
      <w:r w:rsidR="00FE0222" w:rsidRPr="00983855">
        <w:t xml:space="preserve">health expenditure </w:t>
      </w:r>
      <w:r w:rsidR="0001796D" w:rsidRPr="00983855">
        <w:t>per</w:t>
      </w:r>
      <w:r w:rsidR="00FE0222" w:rsidRPr="00983855">
        <w:t xml:space="preserve"> rural resident. </w:t>
      </w:r>
      <w:r w:rsidR="008546BE" w:rsidRPr="00983855">
        <w:t xml:space="preserve">According to </w:t>
      </w:r>
      <w:r w:rsidR="00EF3E52" w:rsidRPr="00983855">
        <w:t xml:space="preserve">the </w:t>
      </w:r>
      <w:r w:rsidR="00916050" w:rsidRPr="00983855">
        <w:t xml:space="preserve">2014 </w:t>
      </w:r>
      <w:r w:rsidR="00EF3E52" w:rsidRPr="00983855">
        <w:t xml:space="preserve">Health Statistical Yearbook, </w:t>
      </w:r>
      <w:r w:rsidR="00FE0222" w:rsidRPr="00983855">
        <w:t xml:space="preserve">the </w:t>
      </w:r>
      <w:r w:rsidR="0041655E" w:rsidRPr="00983855">
        <w:t xml:space="preserve">total </w:t>
      </w:r>
      <w:r w:rsidR="00FE0222" w:rsidRPr="00983855">
        <w:t>health expenditure</w:t>
      </w:r>
      <w:r w:rsidR="0001796D" w:rsidRPr="00983855">
        <w:t xml:space="preserve"> per </w:t>
      </w:r>
      <w:r w:rsidR="0041655E" w:rsidRPr="00983855">
        <w:t>rural</w:t>
      </w:r>
      <w:r w:rsidR="008B1B7B" w:rsidRPr="00983855">
        <w:t xml:space="preserve"> resident</w:t>
      </w:r>
      <w:r w:rsidR="0041655E" w:rsidRPr="00983855">
        <w:t xml:space="preserve"> </w:t>
      </w:r>
      <w:r w:rsidR="00EF3E52" w:rsidRPr="00983855">
        <w:t xml:space="preserve">and </w:t>
      </w:r>
      <w:r w:rsidR="008B1B7B" w:rsidRPr="00983855">
        <w:t xml:space="preserve">per </w:t>
      </w:r>
      <w:r w:rsidR="00EF3E52" w:rsidRPr="00983855">
        <w:t xml:space="preserve">urban resident at the national level in 2013 is 1274 </w:t>
      </w:r>
      <w:r w:rsidR="008B1B7B" w:rsidRPr="00983855">
        <w:t xml:space="preserve">CNY </w:t>
      </w:r>
      <w:r w:rsidR="00EF3E52" w:rsidRPr="00983855">
        <w:t xml:space="preserve">and 3234 </w:t>
      </w:r>
      <w:r w:rsidR="008B1B7B" w:rsidRPr="00983855">
        <w:t>CNY</w:t>
      </w:r>
      <w:r w:rsidR="00EF3E52" w:rsidRPr="00983855">
        <w:t>, respectively</w:t>
      </w:r>
      <w:r w:rsidR="0020317A" w:rsidRPr="00983855">
        <w:t xml:space="preserve"> </w:t>
      </w:r>
      <w:r w:rsidR="00DC1543">
        <w:rPr>
          <w:rFonts w:hint="eastAsia"/>
          <w:lang w:eastAsia="zh-CN"/>
        </w:rPr>
        <w:t>[6]</w:t>
      </w:r>
      <w:r w:rsidR="00FE0222" w:rsidRPr="00983855">
        <w:t xml:space="preserve">. </w:t>
      </w:r>
      <w:r w:rsidR="008B1B7B" w:rsidRPr="00983855">
        <w:t>The yearbook also</w:t>
      </w:r>
      <w:r w:rsidR="00FE0222" w:rsidRPr="00983855">
        <w:t xml:space="preserve"> reported the total health expenditure</w:t>
      </w:r>
      <w:r w:rsidR="008B1B7B" w:rsidRPr="00983855">
        <w:t xml:space="preserve"> per person</w:t>
      </w:r>
      <w:r w:rsidR="00FE0222" w:rsidRPr="00983855">
        <w:t xml:space="preserve"> by</w:t>
      </w:r>
      <w:r w:rsidR="008B1B7B" w:rsidRPr="00983855">
        <w:t xml:space="preserve"> </w:t>
      </w:r>
      <w:r w:rsidR="00FE0222" w:rsidRPr="00983855">
        <w:t>provincial</w:t>
      </w:r>
      <w:r w:rsidR="008B1B7B" w:rsidRPr="00983855">
        <w:t xml:space="preserve"> </w:t>
      </w:r>
      <w:r w:rsidR="00FE0222" w:rsidRPr="00983855">
        <w:t>region in 2013</w:t>
      </w:r>
      <w:r w:rsidR="00EF3E52" w:rsidRPr="00983855">
        <w:t xml:space="preserve"> (</w:t>
      </w:r>
      <w:r w:rsidR="008B1B7B" w:rsidRPr="00983855">
        <w:t>See t</w:t>
      </w:r>
      <w:r w:rsidR="00916050" w:rsidRPr="00983855">
        <w:t>he second</w:t>
      </w:r>
      <w:r w:rsidR="008B1B7B" w:rsidRPr="00983855">
        <w:t xml:space="preserve"> column in </w:t>
      </w:r>
      <w:r w:rsidR="00EF3E52" w:rsidRPr="00983855">
        <w:t>Table</w:t>
      </w:r>
      <w:r w:rsidR="00490C03">
        <w:rPr>
          <w:rFonts w:hint="eastAsia"/>
          <w:lang w:eastAsia="zh-CN"/>
        </w:rPr>
        <w:t xml:space="preserve"> D</w:t>
      </w:r>
      <w:r w:rsidR="00EF3E52" w:rsidRPr="00983855">
        <w:t>)</w:t>
      </w:r>
      <w:r w:rsidR="0020317A" w:rsidRPr="00983855">
        <w:t xml:space="preserve"> </w:t>
      </w:r>
      <w:r w:rsidR="00DC1543">
        <w:rPr>
          <w:rFonts w:hint="eastAsia"/>
          <w:lang w:eastAsia="zh-CN"/>
        </w:rPr>
        <w:t>[6]</w:t>
      </w:r>
      <w:r w:rsidR="00FE0222" w:rsidRPr="00983855">
        <w:t>. S</w:t>
      </w:r>
      <w:r w:rsidR="00682B47" w:rsidRPr="00983855">
        <w:t>ince it did not report</w:t>
      </w:r>
      <w:r w:rsidR="00FE0222" w:rsidRPr="00983855">
        <w:t xml:space="preserve"> </w:t>
      </w:r>
      <w:r w:rsidR="008B1B7B" w:rsidRPr="00983855">
        <w:t xml:space="preserve">the </w:t>
      </w:r>
      <w:r w:rsidR="00200352" w:rsidRPr="00983855">
        <w:t xml:space="preserve">total </w:t>
      </w:r>
      <w:r w:rsidR="00FE0222" w:rsidRPr="00983855">
        <w:t>health expenditure</w:t>
      </w:r>
      <w:r w:rsidR="008B1B7B" w:rsidRPr="00983855">
        <w:t xml:space="preserve"> </w:t>
      </w:r>
      <w:r w:rsidR="00FE0222" w:rsidRPr="00983855">
        <w:t xml:space="preserve">by urban/rural residents </w:t>
      </w:r>
      <w:r w:rsidR="00682B47" w:rsidRPr="00983855">
        <w:t xml:space="preserve">for each provincial </w:t>
      </w:r>
      <w:r w:rsidR="008B1B7B" w:rsidRPr="00983855">
        <w:t>region</w:t>
      </w:r>
      <w:r w:rsidR="00FE0222" w:rsidRPr="00983855">
        <w:t xml:space="preserve">, we estimated the </w:t>
      </w:r>
      <w:r w:rsidR="00200352" w:rsidRPr="00983855">
        <w:t xml:space="preserve">total </w:t>
      </w:r>
      <w:r w:rsidR="00FE0222" w:rsidRPr="00983855">
        <w:t>health expenditure</w:t>
      </w:r>
      <w:r w:rsidR="00B31F80" w:rsidRPr="00983855">
        <w:t>s</w:t>
      </w:r>
      <w:r w:rsidR="00FE0222" w:rsidRPr="00983855">
        <w:t xml:space="preserve"> </w:t>
      </w:r>
      <w:r w:rsidR="008B1B7B" w:rsidRPr="00983855">
        <w:t xml:space="preserve">per </w:t>
      </w:r>
      <w:r w:rsidR="00FE0222" w:rsidRPr="00983855">
        <w:t xml:space="preserve">rural resident </w:t>
      </w:r>
      <w:r w:rsidR="000F27A7" w:rsidRPr="00983855">
        <w:t xml:space="preserve">by provincial area </w:t>
      </w:r>
      <w:r w:rsidR="00FE0222" w:rsidRPr="00983855">
        <w:t xml:space="preserve">based on </w:t>
      </w:r>
      <w:r w:rsidR="00EF3E52" w:rsidRPr="00983855">
        <w:t>the</w:t>
      </w:r>
      <w:r w:rsidR="00682B47" w:rsidRPr="00983855">
        <w:t xml:space="preserve"> ratio </w:t>
      </w:r>
      <w:r w:rsidR="0041655E" w:rsidRPr="00983855">
        <w:t>of total health expenditure</w:t>
      </w:r>
      <w:r w:rsidR="008B1B7B" w:rsidRPr="00983855">
        <w:t xml:space="preserve"> per urban resident</w:t>
      </w:r>
      <w:r w:rsidR="0041655E" w:rsidRPr="00983855">
        <w:t xml:space="preserve"> to total health expenditure</w:t>
      </w:r>
      <w:r w:rsidR="008B1B7B" w:rsidRPr="00983855">
        <w:t xml:space="preserve"> per rural resident</w:t>
      </w:r>
      <w:r w:rsidR="0041655E" w:rsidRPr="00983855">
        <w:t xml:space="preserve">, the ratio of urban population to rural population, and </w:t>
      </w:r>
      <w:r w:rsidR="008B1B7B" w:rsidRPr="00983855">
        <w:t xml:space="preserve">the </w:t>
      </w:r>
      <w:r w:rsidR="0041655E" w:rsidRPr="00983855">
        <w:t xml:space="preserve">total health expenditure </w:t>
      </w:r>
      <w:r w:rsidR="008B1B7B" w:rsidRPr="00983855">
        <w:t xml:space="preserve">per person </w:t>
      </w:r>
      <w:r w:rsidR="0041655E" w:rsidRPr="00983855">
        <w:t xml:space="preserve">by provincial </w:t>
      </w:r>
      <w:r w:rsidR="00916050" w:rsidRPr="00983855">
        <w:t>region</w:t>
      </w:r>
      <w:r w:rsidR="0041655E" w:rsidRPr="00983855">
        <w:t xml:space="preserve">. We reported estimated total </w:t>
      </w:r>
      <w:r w:rsidR="00AA73E0" w:rsidRPr="00983855">
        <w:t xml:space="preserve">health </w:t>
      </w:r>
      <w:r w:rsidR="0041655E" w:rsidRPr="00983855">
        <w:t xml:space="preserve">expenditure </w:t>
      </w:r>
      <w:r w:rsidR="00AA73E0" w:rsidRPr="00983855">
        <w:t>per</w:t>
      </w:r>
      <w:r w:rsidR="0041655E" w:rsidRPr="00983855">
        <w:t xml:space="preserve"> rural resident</w:t>
      </w:r>
      <w:r w:rsidR="00AA73E0" w:rsidRPr="00983855">
        <w:t xml:space="preserve"> by provincial region </w:t>
      </w:r>
      <w:r w:rsidR="0041655E" w:rsidRPr="00983855">
        <w:t xml:space="preserve">in </w:t>
      </w:r>
      <w:r w:rsidR="00916050" w:rsidRPr="00983855">
        <w:t xml:space="preserve">the third and fourth column of </w:t>
      </w:r>
      <w:r w:rsidR="005C2293" w:rsidRPr="00983855">
        <w:t xml:space="preserve">S4 </w:t>
      </w:r>
      <w:r w:rsidR="0041655E" w:rsidRPr="00983855">
        <w:t>Table.</w:t>
      </w:r>
      <w:r w:rsidR="00CC1F2B" w:rsidRPr="00983855">
        <w:t xml:space="preserve"> Beijing had the highest total health expenditure </w:t>
      </w:r>
      <w:r w:rsidR="00FE747A" w:rsidRPr="00983855">
        <w:t>per</w:t>
      </w:r>
      <w:r w:rsidR="00CC1F2B" w:rsidRPr="00983855">
        <w:t xml:space="preserve"> rural resident</w:t>
      </w:r>
      <w:r w:rsidR="00B651F6" w:rsidRPr="00983855">
        <w:t xml:space="preserve"> ($977 in PPP; $559 in nominal)</w:t>
      </w:r>
      <w:r w:rsidR="00CC1F2B" w:rsidRPr="00983855">
        <w:t>, while Guizhou had the lowest estimate</w:t>
      </w:r>
      <w:r w:rsidR="00B651F6" w:rsidRPr="00983855">
        <w:t xml:space="preserve"> ($243 in PPP; $139 in nominal)</w:t>
      </w:r>
      <w:r w:rsidR="00CC1F2B" w:rsidRPr="00983855">
        <w:t xml:space="preserve">. </w:t>
      </w:r>
    </w:p>
    <w:p w14:paraId="2195B2B7" w14:textId="77777777" w:rsidR="002A6959" w:rsidRPr="00983855" w:rsidRDefault="002A6959" w:rsidP="0001796D">
      <w:pPr>
        <w:spacing w:line="480" w:lineRule="auto"/>
        <w:ind w:firstLine="720"/>
        <w:rPr>
          <w:lang w:eastAsia="zh-CN"/>
        </w:rPr>
      </w:pPr>
    </w:p>
    <w:p w14:paraId="2880D747" w14:textId="114E9EA2" w:rsidR="00EF3E52" w:rsidRPr="00983855" w:rsidRDefault="00EF3E52" w:rsidP="00EF3E52">
      <w:pPr>
        <w:spacing w:line="480" w:lineRule="auto"/>
        <w:ind w:firstLine="360"/>
        <w:rPr>
          <w:b/>
        </w:rPr>
      </w:pPr>
      <w:r w:rsidRPr="00983855">
        <w:rPr>
          <w:b/>
        </w:rPr>
        <w:lastRenderedPageBreak/>
        <w:t>Table</w:t>
      </w:r>
      <w:r w:rsidR="00536D8C">
        <w:rPr>
          <w:rFonts w:hint="eastAsia"/>
          <w:b/>
          <w:lang w:eastAsia="zh-CN"/>
        </w:rPr>
        <w:t xml:space="preserve"> D</w:t>
      </w:r>
      <w:r w:rsidRPr="00983855">
        <w:rPr>
          <w:b/>
        </w:rPr>
        <w:t xml:space="preserve">. The total health expenditure </w:t>
      </w:r>
      <w:r w:rsidR="00AD0E78" w:rsidRPr="00983855">
        <w:rPr>
          <w:b/>
        </w:rPr>
        <w:t xml:space="preserve">per rural resident </w:t>
      </w:r>
      <w:r w:rsidRPr="00983855">
        <w:rPr>
          <w:b/>
        </w:rPr>
        <w:t>by provincial region in 2013</w:t>
      </w:r>
      <w:r w:rsidR="00B14A99" w:rsidRPr="00983855">
        <w:rPr>
          <w:b/>
          <w:vertAlign w:val="superscript"/>
        </w:rPr>
        <w:t xml:space="preserve"> </w:t>
      </w:r>
    </w:p>
    <w:tbl>
      <w:tblPr>
        <w:tblStyle w:val="TableGrid"/>
        <w:tblW w:w="12536" w:type="dxa"/>
        <w:tblInd w:w="10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3"/>
        <w:gridCol w:w="3227"/>
        <w:gridCol w:w="3600"/>
        <w:gridCol w:w="3536"/>
      </w:tblGrid>
      <w:tr w:rsidR="002F73F8" w:rsidRPr="00983855" w14:paraId="21D27B42" w14:textId="77777777" w:rsidTr="00983855">
        <w:trPr>
          <w:trHeight w:val="2735"/>
        </w:trPr>
        <w:tc>
          <w:tcPr>
            <w:tcW w:w="2173" w:type="dxa"/>
            <w:tcBorders>
              <w:top w:val="single" w:sz="18" w:space="0" w:color="auto"/>
              <w:bottom w:val="single" w:sz="4" w:space="0" w:color="auto"/>
            </w:tcBorders>
          </w:tcPr>
          <w:p w14:paraId="2F8DA101" w14:textId="1E5726DF" w:rsidR="0041043D" w:rsidRPr="00983855" w:rsidRDefault="0041043D" w:rsidP="0020317A">
            <w:pPr>
              <w:pBdr>
                <w:top w:val="none" w:sz="0" w:space="0" w:color="auto"/>
                <w:left w:val="none" w:sz="0" w:space="0" w:color="auto"/>
                <w:bottom w:val="none" w:sz="0" w:space="0" w:color="auto"/>
                <w:right w:val="none" w:sz="0" w:space="0" w:color="auto"/>
                <w:between w:val="none" w:sz="0" w:space="0" w:color="auto"/>
              </w:pBdr>
              <w:spacing w:line="480" w:lineRule="auto"/>
              <w:jc w:val="center"/>
              <w:rPr>
                <w:b/>
              </w:rPr>
            </w:pPr>
            <w:r w:rsidRPr="00983855">
              <w:rPr>
                <w:b/>
              </w:rPr>
              <w:t>Regions</w:t>
            </w:r>
          </w:p>
        </w:tc>
        <w:tc>
          <w:tcPr>
            <w:tcW w:w="3227" w:type="dxa"/>
            <w:tcBorders>
              <w:top w:val="single" w:sz="18" w:space="0" w:color="auto"/>
              <w:bottom w:val="single" w:sz="4" w:space="0" w:color="auto"/>
            </w:tcBorders>
          </w:tcPr>
          <w:p w14:paraId="67666F1D" w14:textId="69284261" w:rsidR="0041043D" w:rsidRPr="00983855" w:rsidRDefault="00BE5625" w:rsidP="008546BE">
            <w:pPr>
              <w:pBdr>
                <w:top w:val="none" w:sz="0" w:space="0" w:color="auto"/>
                <w:left w:val="none" w:sz="0" w:space="0" w:color="auto"/>
                <w:bottom w:val="none" w:sz="0" w:space="0" w:color="auto"/>
                <w:right w:val="none" w:sz="0" w:space="0" w:color="auto"/>
                <w:between w:val="none" w:sz="0" w:space="0" w:color="auto"/>
              </w:pBdr>
              <w:spacing w:line="480" w:lineRule="auto"/>
              <w:jc w:val="center"/>
              <w:rPr>
                <w:b/>
                <w:lang w:eastAsia="zh-CN"/>
              </w:rPr>
            </w:pPr>
            <w:r w:rsidRPr="00983855">
              <w:rPr>
                <w:b/>
              </w:rPr>
              <w:t>T</w:t>
            </w:r>
            <w:r w:rsidR="0041043D" w:rsidRPr="00983855">
              <w:rPr>
                <w:b/>
              </w:rPr>
              <w:t>otal health expenditure</w:t>
            </w:r>
            <w:r w:rsidRPr="00983855">
              <w:rPr>
                <w:b/>
              </w:rPr>
              <w:t xml:space="preserve"> per </w:t>
            </w:r>
            <w:r w:rsidR="008546BE" w:rsidRPr="00983855">
              <w:rPr>
                <w:b/>
              </w:rPr>
              <w:t>person</w:t>
            </w:r>
            <w:r w:rsidR="00C627FB" w:rsidRPr="00983855">
              <w:rPr>
                <w:b/>
              </w:rPr>
              <w:t xml:space="preserve"> </w:t>
            </w:r>
            <w:r w:rsidR="008546BE" w:rsidRPr="00983855">
              <w:rPr>
                <w:vertAlign w:val="superscript"/>
              </w:rPr>
              <w:t>a</w:t>
            </w:r>
            <w:r w:rsidR="008546BE" w:rsidRPr="00983855">
              <w:t xml:space="preserve"> </w:t>
            </w:r>
            <w:r w:rsidR="0041043D" w:rsidRPr="00983855">
              <w:rPr>
                <w:b/>
              </w:rPr>
              <w:t xml:space="preserve">in constant 2013 </w:t>
            </w:r>
            <w:r w:rsidR="00E6022B" w:rsidRPr="00983855">
              <w:rPr>
                <w:b/>
              </w:rPr>
              <w:t>US dollars</w:t>
            </w:r>
            <w:r w:rsidR="0041043D" w:rsidRPr="00983855">
              <w:rPr>
                <w:b/>
              </w:rPr>
              <w:t xml:space="preserve"> </w:t>
            </w:r>
            <w:r w:rsidR="00E6022B" w:rsidRPr="00983855">
              <w:rPr>
                <w:b/>
              </w:rPr>
              <w:t xml:space="preserve">after the </w:t>
            </w:r>
            <w:r w:rsidR="0041043D" w:rsidRPr="00983855">
              <w:rPr>
                <w:b/>
              </w:rPr>
              <w:t>purchasing power parities</w:t>
            </w:r>
            <w:r w:rsidR="00E6022B" w:rsidRPr="00983855">
              <w:rPr>
                <w:b/>
              </w:rPr>
              <w:t xml:space="preserve"> (PPP) adjustment</w:t>
            </w:r>
            <w:r w:rsidR="0041043D" w:rsidRPr="00983855">
              <w:rPr>
                <w:b/>
              </w:rPr>
              <w:t xml:space="preserve"> </w:t>
            </w:r>
            <w:r w:rsidR="00A02DFB" w:rsidRPr="00983855">
              <w:rPr>
                <w:rFonts w:ascii="Helvetica Neue" w:eastAsia="Helvetica Neue" w:hAnsi="Helvetica Neue" w:cs="Helvetica Neue"/>
                <w:color w:val="353535"/>
              </w:rPr>
              <w:t>*</w:t>
            </w:r>
          </w:p>
        </w:tc>
        <w:tc>
          <w:tcPr>
            <w:tcW w:w="3600" w:type="dxa"/>
            <w:tcBorders>
              <w:top w:val="single" w:sz="18" w:space="0" w:color="auto"/>
              <w:bottom w:val="single" w:sz="4" w:space="0" w:color="auto"/>
            </w:tcBorders>
          </w:tcPr>
          <w:p w14:paraId="42655D85" w14:textId="0BCA29AD" w:rsidR="0041043D" w:rsidRPr="00983855" w:rsidRDefault="0041043D" w:rsidP="002B041A">
            <w:pPr>
              <w:pBdr>
                <w:top w:val="none" w:sz="0" w:space="0" w:color="auto"/>
                <w:left w:val="none" w:sz="0" w:space="0" w:color="auto"/>
                <w:bottom w:val="none" w:sz="0" w:space="0" w:color="auto"/>
                <w:right w:val="none" w:sz="0" w:space="0" w:color="auto"/>
                <w:between w:val="none" w:sz="0" w:space="0" w:color="auto"/>
              </w:pBdr>
              <w:spacing w:line="480" w:lineRule="auto"/>
              <w:jc w:val="center"/>
              <w:rPr>
                <w:b/>
                <w:lang w:eastAsia="zh-CN"/>
              </w:rPr>
            </w:pPr>
            <w:r w:rsidRPr="00983855">
              <w:rPr>
                <w:b/>
              </w:rPr>
              <w:t xml:space="preserve">Estimated </w:t>
            </w:r>
            <w:r w:rsidR="00200352" w:rsidRPr="00983855">
              <w:rPr>
                <w:b/>
              </w:rPr>
              <w:t xml:space="preserve">total </w:t>
            </w:r>
            <w:r w:rsidRPr="00983855">
              <w:rPr>
                <w:b/>
              </w:rPr>
              <w:t>health expenditure</w:t>
            </w:r>
            <w:r w:rsidR="00494126" w:rsidRPr="00983855">
              <w:rPr>
                <w:b/>
              </w:rPr>
              <w:t xml:space="preserve"> per </w:t>
            </w:r>
            <w:r w:rsidRPr="00983855">
              <w:rPr>
                <w:b/>
              </w:rPr>
              <w:t>rural resident in constant 2013</w:t>
            </w:r>
            <w:r w:rsidR="002B041A" w:rsidRPr="00983855">
              <w:rPr>
                <w:b/>
              </w:rPr>
              <w:t xml:space="preserve"> </w:t>
            </w:r>
            <w:r w:rsidRPr="00983855">
              <w:rPr>
                <w:b/>
              </w:rPr>
              <w:t>US</w:t>
            </w:r>
            <w:r w:rsidR="00E6022B" w:rsidRPr="00983855">
              <w:rPr>
                <w:b/>
              </w:rPr>
              <w:t xml:space="preserve"> dollars</w:t>
            </w:r>
            <w:r w:rsidRPr="00983855">
              <w:rPr>
                <w:b/>
              </w:rPr>
              <w:t xml:space="preserve"> </w:t>
            </w:r>
            <w:r w:rsidR="002B041A" w:rsidRPr="00983855">
              <w:rPr>
                <w:b/>
              </w:rPr>
              <w:t xml:space="preserve">after the PPP adjustment </w:t>
            </w:r>
            <w:r w:rsidR="00A02DFB" w:rsidRPr="00983855">
              <w:rPr>
                <w:rFonts w:ascii="Helvetica" w:hAnsi="Helvetica"/>
                <w:color w:val="353535"/>
              </w:rPr>
              <w:t>†</w:t>
            </w:r>
          </w:p>
        </w:tc>
        <w:tc>
          <w:tcPr>
            <w:tcW w:w="3536" w:type="dxa"/>
            <w:tcBorders>
              <w:top w:val="single" w:sz="18" w:space="0" w:color="auto"/>
              <w:bottom w:val="single" w:sz="4" w:space="0" w:color="auto"/>
            </w:tcBorders>
          </w:tcPr>
          <w:p w14:paraId="677D0499" w14:textId="08D17907" w:rsidR="0041043D" w:rsidRPr="00983855" w:rsidRDefault="0041043D" w:rsidP="002B041A">
            <w:pPr>
              <w:pBdr>
                <w:top w:val="none" w:sz="0" w:space="0" w:color="auto"/>
                <w:left w:val="none" w:sz="0" w:space="0" w:color="auto"/>
                <w:bottom w:val="none" w:sz="0" w:space="0" w:color="auto"/>
                <w:right w:val="none" w:sz="0" w:space="0" w:color="auto"/>
                <w:between w:val="none" w:sz="0" w:space="0" w:color="auto"/>
              </w:pBdr>
              <w:spacing w:line="480" w:lineRule="auto"/>
              <w:jc w:val="center"/>
              <w:rPr>
                <w:b/>
              </w:rPr>
            </w:pPr>
            <w:r w:rsidRPr="00983855">
              <w:rPr>
                <w:b/>
              </w:rPr>
              <w:t xml:space="preserve">Estimated </w:t>
            </w:r>
            <w:r w:rsidR="00200352" w:rsidRPr="00983855">
              <w:rPr>
                <w:b/>
              </w:rPr>
              <w:t xml:space="preserve">total </w:t>
            </w:r>
            <w:r w:rsidRPr="00983855">
              <w:rPr>
                <w:b/>
              </w:rPr>
              <w:t xml:space="preserve">health expenditure </w:t>
            </w:r>
            <w:r w:rsidR="00E6022B" w:rsidRPr="00983855">
              <w:rPr>
                <w:b/>
              </w:rPr>
              <w:t>per</w:t>
            </w:r>
            <w:r w:rsidRPr="00983855">
              <w:rPr>
                <w:b/>
              </w:rPr>
              <w:t xml:space="preserve"> rural resident in constant 2013 US</w:t>
            </w:r>
            <w:r w:rsidR="00E6022B" w:rsidRPr="00983855">
              <w:rPr>
                <w:b/>
              </w:rPr>
              <w:t xml:space="preserve"> dollars</w:t>
            </w:r>
            <w:r w:rsidRPr="00983855">
              <w:rPr>
                <w:b/>
              </w:rPr>
              <w:t xml:space="preserve"> based on average exchange rate</w:t>
            </w:r>
            <w:r w:rsidR="006D7C62" w:rsidRPr="00983855">
              <w:rPr>
                <w:b/>
              </w:rPr>
              <w:t xml:space="preserve"> (nominal conversion) </w:t>
            </w:r>
            <w:r w:rsidR="00A02DFB" w:rsidRPr="00983855">
              <w:rPr>
                <w:rFonts w:ascii="Helvetica" w:hAnsi="Helvetica"/>
                <w:color w:val="353535"/>
              </w:rPr>
              <w:t>‡</w:t>
            </w:r>
          </w:p>
        </w:tc>
      </w:tr>
      <w:tr w:rsidR="002F73F8" w:rsidRPr="00983855" w14:paraId="2356654A" w14:textId="77777777" w:rsidTr="002F73F8">
        <w:trPr>
          <w:trHeight w:val="962"/>
        </w:trPr>
        <w:tc>
          <w:tcPr>
            <w:tcW w:w="2173" w:type="dxa"/>
            <w:tcBorders>
              <w:top w:val="single" w:sz="4" w:space="0" w:color="auto"/>
            </w:tcBorders>
          </w:tcPr>
          <w:p w14:paraId="3F31B8A5" w14:textId="77777777" w:rsidR="002F73F8" w:rsidRPr="00983855" w:rsidRDefault="002F73F8" w:rsidP="00EF3E52">
            <w:pPr>
              <w:pBdr>
                <w:top w:val="none" w:sz="0" w:space="0" w:color="auto"/>
                <w:left w:val="none" w:sz="0" w:space="0" w:color="auto"/>
                <w:bottom w:val="none" w:sz="0" w:space="0" w:color="auto"/>
                <w:right w:val="none" w:sz="0" w:space="0" w:color="auto"/>
                <w:between w:val="none" w:sz="0" w:space="0" w:color="auto"/>
              </w:pBdr>
              <w:spacing w:line="480" w:lineRule="auto"/>
              <w:rPr>
                <w:lang w:eastAsia="zh-CN"/>
              </w:rPr>
            </w:pPr>
          </w:p>
          <w:p w14:paraId="22CF677F" w14:textId="107AF8B4"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Nation</w:t>
            </w:r>
          </w:p>
        </w:tc>
        <w:tc>
          <w:tcPr>
            <w:tcW w:w="3227" w:type="dxa"/>
            <w:tcBorders>
              <w:top w:val="single" w:sz="4" w:space="0" w:color="auto"/>
            </w:tcBorders>
            <w:vAlign w:val="bottom"/>
          </w:tcPr>
          <w:p w14:paraId="09C248C9" w14:textId="33636D49"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656</w:t>
            </w:r>
          </w:p>
        </w:tc>
        <w:tc>
          <w:tcPr>
            <w:tcW w:w="3600" w:type="dxa"/>
            <w:tcBorders>
              <w:top w:val="single" w:sz="4" w:space="0" w:color="auto"/>
            </w:tcBorders>
            <w:vAlign w:val="bottom"/>
          </w:tcPr>
          <w:p w14:paraId="2DED5D13" w14:textId="146EFE9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359</w:t>
            </w:r>
          </w:p>
        </w:tc>
        <w:tc>
          <w:tcPr>
            <w:tcW w:w="3536" w:type="dxa"/>
            <w:tcBorders>
              <w:top w:val="single" w:sz="4" w:space="0" w:color="auto"/>
            </w:tcBorders>
            <w:vAlign w:val="bottom"/>
          </w:tcPr>
          <w:p w14:paraId="53ADA2C5" w14:textId="71375AB9"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205</w:t>
            </w:r>
          </w:p>
        </w:tc>
      </w:tr>
      <w:tr w:rsidR="002F73F8" w:rsidRPr="00983855" w14:paraId="4AFBF436" w14:textId="77777777" w:rsidTr="002F73F8">
        <w:tc>
          <w:tcPr>
            <w:tcW w:w="2173" w:type="dxa"/>
          </w:tcPr>
          <w:p w14:paraId="44788134" w14:textId="11F39318"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Beijing</w:t>
            </w:r>
          </w:p>
        </w:tc>
        <w:tc>
          <w:tcPr>
            <w:tcW w:w="3227" w:type="dxa"/>
            <w:vAlign w:val="bottom"/>
          </w:tcPr>
          <w:p w14:paraId="5E018001" w14:textId="0864617D"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1785</w:t>
            </w:r>
          </w:p>
        </w:tc>
        <w:tc>
          <w:tcPr>
            <w:tcW w:w="3600" w:type="dxa"/>
            <w:vAlign w:val="bottom"/>
          </w:tcPr>
          <w:p w14:paraId="73A0A195" w14:textId="0128C44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宋体" w:hAnsi="Calibri" w:cs="Times New Roman"/>
              </w:rPr>
            </w:pPr>
            <w:r w:rsidRPr="00983855">
              <w:rPr>
                <w:rFonts w:ascii="宋体" w:hAnsi="Calibri" w:cs="Times New Roman" w:hint="eastAsia"/>
              </w:rPr>
              <w:t>977</w:t>
            </w:r>
          </w:p>
        </w:tc>
        <w:tc>
          <w:tcPr>
            <w:tcW w:w="3536" w:type="dxa"/>
            <w:vAlign w:val="bottom"/>
          </w:tcPr>
          <w:p w14:paraId="08661B7B" w14:textId="6B9614D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宋体" w:hAnsi="Calibri" w:cs="Times New Roman"/>
              </w:rPr>
            </w:pPr>
            <w:r w:rsidRPr="00983855">
              <w:rPr>
                <w:rFonts w:ascii="Times New Roman" w:eastAsia="Times New Roman" w:hAnsi="Times New Roman" w:cs="Times New Roman"/>
              </w:rPr>
              <w:t>559</w:t>
            </w:r>
          </w:p>
        </w:tc>
      </w:tr>
      <w:tr w:rsidR="002F73F8" w:rsidRPr="00983855" w14:paraId="7543006F" w14:textId="77777777" w:rsidTr="002F73F8">
        <w:tc>
          <w:tcPr>
            <w:tcW w:w="2173" w:type="dxa"/>
          </w:tcPr>
          <w:p w14:paraId="3ED4A7BD" w14:textId="485ECCE5"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Tianjin</w:t>
            </w:r>
          </w:p>
        </w:tc>
        <w:tc>
          <w:tcPr>
            <w:tcW w:w="3227" w:type="dxa"/>
            <w:vAlign w:val="bottom"/>
          </w:tcPr>
          <w:p w14:paraId="7F33DB9E" w14:textId="0DFCB55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1056</w:t>
            </w:r>
          </w:p>
        </w:tc>
        <w:tc>
          <w:tcPr>
            <w:tcW w:w="3600" w:type="dxa"/>
            <w:vAlign w:val="bottom"/>
          </w:tcPr>
          <w:p w14:paraId="31BEF9F2" w14:textId="13FE120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578</w:t>
            </w:r>
          </w:p>
        </w:tc>
        <w:tc>
          <w:tcPr>
            <w:tcW w:w="3536" w:type="dxa"/>
            <w:vAlign w:val="bottom"/>
          </w:tcPr>
          <w:p w14:paraId="31357E57" w14:textId="7324F402"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331</w:t>
            </w:r>
          </w:p>
        </w:tc>
      </w:tr>
      <w:tr w:rsidR="002F73F8" w:rsidRPr="00983855" w14:paraId="2491339D" w14:textId="77777777" w:rsidTr="002F73F8">
        <w:tc>
          <w:tcPr>
            <w:tcW w:w="2173" w:type="dxa"/>
          </w:tcPr>
          <w:p w14:paraId="26748C20" w14:textId="77E74A79"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Hebei</w:t>
            </w:r>
          </w:p>
        </w:tc>
        <w:tc>
          <w:tcPr>
            <w:tcW w:w="3227" w:type="dxa"/>
            <w:vAlign w:val="bottom"/>
          </w:tcPr>
          <w:p w14:paraId="60306D62" w14:textId="32C524D8"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571</w:t>
            </w:r>
          </w:p>
        </w:tc>
        <w:tc>
          <w:tcPr>
            <w:tcW w:w="3600" w:type="dxa"/>
            <w:vAlign w:val="bottom"/>
          </w:tcPr>
          <w:p w14:paraId="15AEFA7C" w14:textId="1506B8FE"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312</w:t>
            </w:r>
          </w:p>
        </w:tc>
        <w:tc>
          <w:tcPr>
            <w:tcW w:w="3536" w:type="dxa"/>
            <w:vAlign w:val="bottom"/>
          </w:tcPr>
          <w:p w14:paraId="69C81F6D" w14:textId="2097D8B3"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179</w:t>
            </w:r>
          </w:p>
        </w:tc>
      </w:tr>
      <w:tr w:rsidR="002F73F8" w:rsidRPr="00983855" w14:paraId="36DD1358" w14:textId="77777777" w:rsidTr="002F73F8">
        <w:tc>
          <w:tcPr>
            <w:tcW w:w="2173" w:type="dxa"/>
          </w:tcPr>
          <w:p w14:paraId="7175C495" w14:textId="607E4828"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Shanxi</w:t>
            </w:r>
          </w:p>
        </w:tc>
        <w:tc>
          <w:tcPr>
            <w:tcW w:w="3227" w:type="dxa"/>
            <w:vAlign w:val="bottom"/>
          </w:tcPr>
          <w:p w14:paraId="4E036AF5" w14:textId="5023375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569</w:t>
            </w:r>
          </w:p>
        </w:tc>
        <w:tc>
          <w:tcPr>
            <w:tcW w:w="3600" w:type="dxa"/>
            <w:vAlign w:val="bottom"/>
          </w:tcPr>
          <w:p w14:paraId="55B211E2" w14:textId="3DF39F7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311</w:t>
            </w:r>
          </w:p>
        </w:tc>
        <w:tc>
          <w:tcPr>
            <w:tcW w:w="3536" w:type="dxa"/>
            <w:vAlign w:val="bottom"/>
          </w:tcPr>
          <w:p w14:paraId="3B5E1A33" w14:textId="30C86442"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178</w:t>
            </w:r>
          </w:p>
        </w:tc>
      </w:tr>
      <w:tr w:rsidR="002F73F8" w:rsidRPr="00983855" w14:paraId="10520F50" w14:textId="77777777" w:rsidTr="002F73F8">
        <w:tc>
          <w:tcPr>
            <w:tcW w:w="2173" w:type="dxa"/>
          </w:tcPr>
          <w:p w14:paraId="5A3BE7D1" w14:textId="67A31712"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Inner Mongolia</w:t>
            </w:r>
          </w:p>
        </w:tc>
        <w:tc>
          <w:tcPr>
            <w:tcW w:w="3227" w:type="dxa"/>
            <w:vAlign w:val="bottom"/>
          </w:tcPr>
          <w:p w14:paraId="47391664" w14:textId="720E689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788</w:t>
            </w:r>
          </w:p>
        </w:tc>
        <w:tc>
          <w:tcPr>
            <w:tcW w:w="3600" w:type="dxa"/>
            <w:vAlign w:val="bottom"/>
          </w:tcPr>
          <w:p w14:paraId="5C3C1A5B" w14:textId="4639300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431</w:t>
            </w:r>
          </w:p>
        </w:tc>
        <w:tc>
          <w:tcPr>
            <w:tcW w:w="3536" w:type="dxa"/>
            <w:vAlign w:val="bottom"/>
          </w:tcPr>
          <w:p w14:paraId="782719E3" w14:textId="2E53C8D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247</w:t>
            </w:r>
          </w:p>
        </w:tc>
      </w:tr>
      <w:tr w:rsidR="002F73F8" w:rsidRPr="00983855" w14:paraId="1F51C09E" w14:textId="77777777" w:rsidTr="002F73F8">
        <w:tc>
          <w:tcPr>
            <w:tcW w:w="2173" w:type="dxa"/>
          </w:tcPr>
          <w:p w14:paraId="37223C6A" w14:textId="76B906FF"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Liaoning</w:t>
            </w:r>
          </w:p>
        </w:tc>
        <w:tc>
          <w:tcPr>
            <w:tcW w:w="3227" w:type="dxa"/>
            <w:vAlign w:val="bottom"/>
          </w:tcPr>
          <w:p w14:paraId="37748BDF" w14:textId="2DCEF88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755</w:t>
            </w:r>
          </w:p>
        </w:tc>
        <w:tc>
          <w:tcPr>
            <w:tcW w:w="3600" w:type="dxa"/>
            <w:vAlign w:val="bottom"/>
          </w:tcPr>
          <w:p w14:paraId="12D7FC62" w14:textId="1AF4102D"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413</w:t>
            </w:r>
          </w:p>
        </w:tc>
        <w:tc>
          <w:tcPr>
            <w:tcW w:w="3536" w:type="dxa"/>
            <w:vAlign w:val="bottom"/>
          </w:tcPr>
          <w:p w14:paraId="4F4B5A44" w14:textId="1AE5A8D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237</w:t>
            </w:r>
          </w:p>
        </w:tc>
      </w:tr>
      <w:tr w:rsidR="002F73F8" w:rsidRPr="00983855" w14:paraId="154FFA0C" w14:textId="77777777" w:rsidTr="002F73F8">
        <w:tc>
          <w:tcPr>
            <w:tcW w:w="2173" w:type="dxa"/>
          </w:tcPr>
          <w:p w14:paraId="16D026F6" w14:textId="0B0F1FD1"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lastRenderedPageBreak/>
              <w:t>Jilin</w:t>
            </w:r>
          </w:p>
        </w:tc>
        <w:tc>
          <w:tcPr>
            <w:tcW w:w="3227" w:type="dxa"/>
            <w:vAlign w:val="bottom"/>
          </w:tcPr>
          <w:p w14:paraId="4A737BEA" w14:textId="7820B87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783</w:t>
            </w:r>
          </w:p>
        </w:tc>
        <w:tc>
          <w:tcPr>
            <w:tcW w:w="3600" w:type="dxa"/>
            <w:vAlign w:val="bottom"/>
          </w:tcPr>
          <w:p w14:paraId="4CED7A8D" w14:textId="201D587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428</w:t>
            </w:r>
          </w:p>
        </w:tc>
        <w:tc>
          <w:tcPr>
            <w:tcW w:w="3536" w:type="dxa"/>
            <w:vAlign w:val="bottom"/>
          </w:tcPr>
          <w:p w14:paraId="6938BF6A" w14:textId="3AA69DE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245</w:t>
            </w:r>
          </w:p>
        </w:tc>
      </w:tr>
      <w:tr w:rsidR="002F73F8" w:rsidRPr="00983855" w14:paraId="2F2DCC9B" w14:textId="77777777" w:rsidTr="002F73F8">
        <w:tc>
          <w:tcPr>
            <w:tcW w:w="2173" w:type="dxa"/>
          </w:tcPr>
          <w:p w14:paraId="1FD20745" w14:textId="5E444FAB"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Heilongjiang</w:t>
            </w:r>
          </w:p>
        </w:tc>
        <w:tc>
          <w:tcPr>
            <w:tcW w:w="3227" w:type="dxa"/>
            <w:vAlign w:val="bottom"/>
          </w:tcPr>
          <w:p w14:paraId="576DB34A" w14:textId="1A50B4C0"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711</w:t>
            </w:r>
          </w:p>
        </w:tc>
        <w:tc>
          <w:tcPr>
            <w:tcW w:w="3600" w:type="dxa"/>
            <w:vAlign w:val="bottom"/>
          </w:tcPr>
          <w:p w14:paraId="44B6DEE1" w14:textId="20D7264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389</w:t>
            </w:r>
          </w:p>
        </w:tc>
        <w:tc>
          <w:tcPr>
            <w:tcW w:w="3536" w:type="dxa"/>
            <w:vAlign w:val="bottom"/>
          </w:tcPr>
          <w:p w14:paraId="3E61EFB7" w14:textId="16FA69AE"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223</w:t>
            </w:r>
          </w:p>
        </w:tc>
      </w:tr>
      <w:tr w:rsidR="002F73F8" w:rsidRPr="00983855" w14:paraId="0E559032" w14:textId="77777777" w:rsidTr="002F73F8">
        <w:tc>
          <w:tcPr>
            <w:tcW w:w="2173" w:type="dxa"/>
          </w:tcPr>
          <w:p w14:paraId="6F70976A" w14:textId="7DB13C8B"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Shanghai</w:t>
            </w:r>
          </w:p>
        </w:tc>
        <w:tc>
          <w:tcPr>
            <w:tcW w:w="3227" w:type="dxa"/>
            <w:vAlign w:val="bottom"/>
          </w:tcPr>
          <w:p w14:paraId="4D6DA13D" w14:textId="2532DA3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1456</w:t>
            </w:r>
          </w:p>
        </w:tc>
        <w:tc>
          <w:tcPr>
            <w:tcW w:w="3600" w:type="dxa"/>
            <w:vAlign w:val="bottom"/>
          </w:tcPr>
          <w:p w14:paraId="7C2D9903" w14:textId="78E3ED8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797</w:t>
            </w:r>
          </w:p>
        </w:tc>
        <w:tc>
          <w:tcPr>
            <w:tcW w:w="3536" w:type="dxa"/>
            <w:vAlign w:val="bottom"/>
          </w:tcPr>
          <w:p w14:paraId="0E507B20" w14:textId="7DE1ACA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456</w:t>
            </w:r>
          </w:p>
        </w:tc>
      </w:tr>
      <w:tr w:rsidR="002F73F8" w:rsidRPr="00983855" w14:paraId="667875A3" w14:textId="77777777" w:rsidTr="002F73F8">
        <w:tc>
          <w:tcPr>
            <w:tcW w:w="2173" w:type="dxa"/>
          </w:tcPr>
          <w:p w14:paraId="2CF5EBE6" w14:textId="136C9024"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Jiangsu</w:t>
            </w:r>
          </w:p>
        </w:tc>
        <w:tc>
          <w:tcPr>
            <w:tcW w:w="3227" w:type="dxa"/>
            <w:vAlign w:val="bottom"/>
          </w:tcPr>
          <w:p w14:paraId="7167A7D9" w14:textId="2AEAD0E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785</w:t>
            </w:r>
          </w:p>
        </w:tc>
        <w:tc>
          <w:tcPr>
            <w:tcW w:w="3600" w:type="dxa"/>
            <w:vAlign w:val="bottom"/>
          </w:tcPr>
          <w:p w14:paraId="3DB263B9" w14:textId="5B1BF9F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430</w:t>
            </w:r>
          </w:p>
        </w:tc>
        <w:tc>
          <w:tcPr>
            <w:tcW w:w="3536" w:type="dxa"/>
            <w:vAlign w:val="bottom"/>
          </w:tcPr>
          <w:p w14:paraId="77C97BA8" w14:textId="63C66E7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246</w:t>
            </w:r>
          </w:p>
        </w:tc>
      </w:tr>
      <w:tr w:rsidR="002F73F8" w:rsidRPr="00983855" w14:paraId="03B15FCD" w14:textId="77777777" w:rsidTr="002F73F8">
        <w:tc>
          <w:tcPr>
            <w:tcW w:w="2173" w:type="dxa"/>
          </w:tcPr>
          <w:p w14:paraId="4F80C080" w14:textId="46E2816E"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Zhejiang</w:t>
            </w:r>
          </w:p>
        </w:tc>
        <w:tc>
          <w:tcPr>
            <w:tcW w:w="3227" w:type="dxa"/>
            <w:vAlign w:val="bottom"/>
          </w:tcPr>
          <w:p w14:paraId="1965CF76" w14:textId="0D5D85C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877</w:t>
            </w:r>
          </w:p>
        </w:tc>
        <w:tc>
          <w:tcPr>
            <w:tcW w:w="3600" w:type="dxa"/>
            <w:vAlign w:val="bottom"/>
          </w:tcPr>
          <w:p w14:paraId="7D9CD8DC" w14:textId="5B51028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480</w:t>
            </w:r>
          </w:p>
        </w:tc>
        <w:tc>
          <w:tcPr>
            <w:tcW w:w="3536" w:type="dxa"/>
            <w:vAlign w:val="bottom"/>
          </w:tcPr>
          <w:p w14:paraId="31AEBD7C" w14:textId="03E278D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275</w:t>
            </w:r>
          </w:p>
        </w:tc>
      </w:tr>
      <w:tr w:rsidR="002F73F8" w:rsidRPr="00983855" w14:paraId="2FE92F85" w14:textId="77777777" w:rsidTr="002F73F8">
        <w:tc>
          <w:tcPr>
            <w:tcW w:w="2173" w:type="dxa"/>
          </w:tcPr>
          <w:p w14:paraId="48DECA97" w14:textId="7A8C3651"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Anhui</w:t>
            </w:r>
          </w:p>
        </w:tc>
        <w:tc>
          <w:tcPr>
            <w:tcW w:w="3227" w:type="dxa"/>
            <w:vAlign w:val="bottom"/>
          </w:tcPr>
          <w:p w14:paraId="260ED7FA" w14:textId="57E2559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571</w:t>
            </w:r>
          </w:p>
        </w:tc>
        <w:tc>
          <w:tcPr>
            <w:tcW w:w="3600" w:type="dxa"/>
            <w:vAlign w:val="bottom"/>
          </w:tcPr>
          <w:p w14:paraId="5EFEE6B8" w14:textId="4DDB86D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312</w:t>
            </w:r>
          </w:p>
        </w:tc>
        <w:tc>
          <w:tcPr>
            <w:tcW w:w="3536" w:type="dxa"/>
            <w:vAlign w:val="bottom"/>
          </w:tcPr>
          <w:p w14:paraId="224B0372" w14:textId="5A2972D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179</w:t>
            </w:r>
          </w:p>
        </w:tc>
      </w:tr>
      <w:tr w:rsidR="002F73F8" w:rsidRPr="00983855" w14:paraId="22B0841B" w14:textId="77777777" w:rsidTr="002F73F8">
        <w:tc>
          <w:tcPr>
            <w:tcW w:w="2173" w:type="dxa"/>
          </w:tcPr>
          <w:p w14:paraId="69C7510F" w14:textId="700CCE10"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Fujian</w:t>
            </w:r>
          </w:p>
        </w:tc>
        <w:tc>
          <w:tcPr>
            <w:tcW w:w="3227" w:type="dxa"/>
            <w:vAlign w:val="bottom"/>
          </w:tcPr>
          <w:p w14:paraId="1E7DA7C9" w14:textId="20FB9A4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623</w:t>
            </w:r>
          </w:p>
        </w:tc>
        <w:tc>
          <w:tcPr>
            <w:tcW w:w="3600" w:type="dxa"/>
            <w:vAlign w:val="bottom"/>
          </w:tcPr>
          <w:p w14:paraId="5A196E5F" w14:textId="79D0684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341</w:t>
            </w:r>
          </w:p>
        </w:tc>
        <w:tc>
          <w:tcPr>
            <w:tcW w:w="3536" w:type="dxa"/>
            <w:vAlign w:val="bottom"/>
          </w:tcPr>
          <w:p w14:paraId="70422C28" w14:textId="15BAB5E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195</w:t>
            </w:r>
          </w:p>
        </w:tc>
      </w:tr>
      <w:tr w:rsidR="002F73F8" w:rsidRPr="00983855" w14:paraId="3316A7D5" w14:textId="77777777" w:rsidTr="002F73F8">
        <w:tc>
          <w:tcPr>
            <w:tcW w:w="2173" w:type="dxa"/>
          </w:tcPr>
          <w:p w14:paraId="479D14CF" w14:textId="364A39C5"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Jiangxi</w:t>
            </w:r>
          </w:p>
        </w:tc>
        <w:tc>
          <w:tcPr>
            <w:tcW w:w="3227" w:type="dxa"/>
            <w:vAlign w:val="bottom"/>
          </w:tcPr>
          <w:p w14:paraId="7034231D" w14:textId="6F5AE77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460</w:t>
            </w:r>
          </w:p>
        </w:tc>
        <w:tc>
          <w:tcPr>
            <w:tcW w:w="3600" w:type="dxa"/>
            <w:vAlign w:val="bottom"/>
          </w:tcPr>
          <w:p w14:paraId="130BC036" w14:textId="4B3D4FE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252</w:t>
            </w:r>
          </w:p>
        </w:tc>
        <w:tc>
          <w:tcPr>
            <w:tcW w:w="3536" w:type="dxa"/>
            <w:vAlign w:val="bottom"/>
          </w:tcPr>
          <w:p w14:paraId="116B1BB4" w14:textId="24BCBEC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144</w:t>
            </w:r>
          </w:p>
        </w:tc>
      </w:tr>
      <w:tr w:rsidR="002F73F8" w:rsidRPr="00983855" w14:paraId="54BDEC40" w14:textId="77777777" w:rsidTr="002F73F8">
        <w:tc>
          <w:tcPr>
            <w:tcW w:w="2173" w:type="dxa"/>
          </w:tcPr>
          <w:p w14:paraId="4945F773" w14:textId="151D302A"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Shandong</w:t>
            </w:r>
          </w:p>
        </w:tc>
        <w:tc>
          <w:tcPr>
            <w:tcW w:w="3227" w:type="dxa"/>
            <w:vAlign w:val="bottom"/>
          </w:tcPr>
          <w:p w14:paraId="1C32E2E7" w14:textId="0D6DBCBC"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650</w:t>
            </w:r>
          </w:p>
        </w:tc>
        <w:tc>
          <w:tcPr>
            <w:tcW w:w="3600" w:type="dxa"/>
            <w:vAlign w:val="bottom"/>
          </w:tcPr>
          <w:p w14:paraId="688BEB75" w14:textId="0A2EF7C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356</w:t>
            </w:r>
          </w:p>
        </w:tc>
        <w:tc>
          <w:tcPr>
            <w:tcW w:w="3536" w:type="dxa"/>
            <w:vAlign w:val="bottom"/>
          </w:tcPr>
          <w:p w14:paraId="445440B9" w14:textId="539A0453"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204</w:t>
            </w:r>
          </w:p>
        </w:tc>
      </w:tr>
      <w:tr w:rsidR="002F73F8" w:rsidRPr="00983855" w14:paraId="5A3F5447" w14:textId="77777777" w:rsidTr="002F73F8">
        <w:tc>
          <w:tcPr>
            <w:tcW w:w="2173" w:type="dxa"/>
          </w:tcPr>
          <w:p w14:paraId="1DF7D791" w14:textId="1BCD77BA"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Henan</w:t>
            </w:r>
          </w:p>
        </w:tc>
        <w:tc>
          <w:tcPr>
            <w:tcW w:w="3227" w:type="dxa"/>
            <w:vAlign w:val="bottom"/>
          </w:tcPr>
          <w:p w14:paraId="48158E19" w14:textId="45EE3450"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505</w:t>
            </w:r>
          </w:p>
        </w:tc>
        <w:tc>
          <w:tcPr>
            <w:tcW w:w="3600" w:type="dxa"/>
            <w:vAlign w:val="bottom"/>
          </w:tcPr>
          <w:p w14:paraId="331AAFD3" w14:textId="46E57E1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276</w:t>
            </w:r>
          </w:p>
        </w:tc>
        <w:tc>
          <w:tcPr>
            <w:tcW w:w="3536" w:type="dxa"/>
            <w:vAlign w:val="bottom"/>
          </w:tcPr>
          <w:p w14:paraId="15A5C052" w14:textId="0BCB6BE9"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158</w:t>
            </w:r>
          </w:p>
        </w:tc>
      </w:tr>
      <w:tr w:rsidR="002F73F8" w:rsidRPr="00983855" w14:paraId="0BCDB225" w14:textId="77777777" w:rsidTr="002F73F8">
        <w:tc>
          <w:tcPr>
            <w:tcW w:w="2173" w:type="dxa"/>
          </w:tcPr>
          <w:p w14:paraId="7007FD18" w14:textId="3476E473"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Hubei</w:t>
            </w:r>
          </w:p>
        </w:tc>
        <w:tc>
          <w:tcPr>
            <w:tcW w:w="3227" w:type="dxa"/>
            <w:vAlign w:val="bottom"/>
          </w:tcPr>
          <w:p w14:paraId="7D8574E1" w14:textId="5E59CDDB"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598</w:t>
            </w:r>
          </w:p>
        </w:tc>
        <w:tc>
          <w:tcPr>
            <w:tcW w:w="3600" w:type="dxa"/>
            <w:vAlign w:val="bottom"/>
          </w:tcPr>
          <w:p w14:paraId="78D32BB8" w14:textId="6D23138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327</w:t>
            </w:r>
          </w:p>
        </w:tc>
        <w:tc>
          <w:tcPr>
            <w:tcW w:w="3536" w:type="dxa"/>
            <w:vAlign w:val="bottom"/>
          </w:tcPr>
          <w:p w14:paraId="4A627FEC" w14:textId="53B89239"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187</w:t>
            </w:r>
          </w:p>
        </w:tc>
      </w:tr>
      <w:tr w:rsidR="002F73F8" w:rsidRPr="00983855" w14:paraId="5160DAF8" w14:textId="77777777" w:rsidTr="002F73F8">
        <w:tc>
          <w:tcPr>
            <w:tcW w:w="2173" w:type="dxa"/>
          </w:tcPr>
          <w:p w14:paraId="21651170" w14:textId="5026ED5D"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Hunan</w:t>
            </w:r>
          </w:p>
        </w:tc>
        <w:tc>
          <w:tcPr>
            <w:tcW w:w="3227" w:type="dxa"/>
            <w:vAlign w:val="bottom"/>
          </w:tcPr>
          <w:p w14:paraId="3D5ABC45" w14:textId="363B40D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550</w:t>
            </w:r>
          </w:p>
        </w:tc>
        <w:tc>
          <w:tcPr>
            <w:tcW w:w="3600" w:type="dxa"/>
            <w:vAlign w:val="bottom"/>
          </w:tcPr>
          <w:p w14:paraId="54BA2FAE" w14:textId="75B1978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301</w:t>
            </w:r>
          </w:p>
        </w:tc>
        <w:tc>
          <w:tcPr>
            <w:tcW w:w="3536" w:type="dxa"/>
            <w:vAlign w:val="bottom"/>
          </w:tcPr>
          <w:p w14:paraId="034E5210" w14:textId="0FE91AB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172</w:t>
            </w:r>
          </w:p>
        </w:tc>
      </w:tr>
      <w:tr w:rsidR="002F73F8" w:rsidRPr="00983855" w14:paraId="04F77AE1" w14:textId="77777777" w:rsidTr="002F73F8">
        <w:tc>
          <w:tcPr>
            <w:tcW w:w="2173" w:type="dxa"/>
          </w:tcPr>
          <w:p w14:paraId="6F99F341" w14:textId="006CDD9C"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Guangdong</w:t>
            </w:r>
          </w:p>
        </w:tc>
        <w:tc>
          <w:tcPr>
            <w:tcW w:w="3227" w:type="dxa"/>
            <w:vAlign w:val="bottom"/>
          </w:tcPr>
          <w:p w14:paraId="00160160" w14:textId="1A347D9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667</w:t>
            </w:r>
          </w:p>
        </w:tc>
        <w:tc>
          <w:tcPr>
            <w:tcW w:w="3600" w:type="dxa"/>
            <w:vAlign w:val="bottom"/>
          </w:tcPr>
          <w:p w14:paraId="4B7F21AE" w14:textId="390E322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365</w:t>
            </w:r>
          </w:p>
        </w:tc>
        <w:tc>
          <w:tcPr>
            <w:tcW w:w="3536" w:type="dxa"/>
            <w:vAlign w:val="bottom"/>
          </w:tcPr>
          <w:p w14:paraId="451BED86" w14:textId="57CD028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209</w:t>
            </w:r>
          </w:p>
        </w:tc>
      </w:tr>
      <w:tr w:rsidR="002F73F8" w:rsidRPr="00983855" w14:paraId="179DD4D0" w14:textId="77777777" w:rsidTr="002F73F8">
        <w:tc>
          <w:tcPr>
            <w:tcW w:w="2173" w:type="dxa"/>
          </w:tcPr>
          <w:p w14:paraId="0CF40C6F" w14:textId="69C9ECD1"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Guangxi</w:t>
            </w:r>
          </w:p>
        </w:tc>
        <w:tc>
          <w:tcPr>
            <w:tcW w:w="3227" w:type="dxa"/>
            <w:vAlign w:val="bottom"/>
          </w:tcPr>
          <w:p w14:paraId="098DA78A" w14:textId="6AC29D69"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506</w:t>
            </w:r>
          </w:p>
        </w:tc>
        <w:tc>
          <w:tcPr>
            <w:tcW w:w="3600" w:type="dxa"/>
            <w:vAlign w:val="bottom"/>
          </w:tcPr>
          <w:p w14:paraId="7F04F81C" w14:textId="70A74A4C"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277</w:t>
            </w:r>
          </w:p>
        </w:tc>
        <w:tc>
          <w:tcPr>
            <w:tcW w:w="3536" w:type="dxa"/>
            <w:vAlign w:val="bottom"/>
          </w:tcPr>
          <w:p w14:paraId="0E6AFE51" w14:textId="2875FBF2"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158</w:t>
            </w:r>
          </w:p>
        </w:tc>
      </w:tr>
      <w:tr w:rsidR="002F73F8" w:rsidRPr="00983855" w14:paraId="6BCE70CA" w14:textId="77777777" w:rsidTr="002F73F8">
        <w:tc>
          <w:tcPr>
            <w:tcW w:w="2173" w:type="dxa"/>
          </w:tcPr>
          <w:p w14:paraId="1886201B" w14:textId="028EFC73"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Hainan</w:t>
            </w:r>
          </w:p>
        </w:tc>
        <w:tc>
          <w:tcPr>
            <w:tcW w:w="3227" w:type="dxa"/>
            <w:vAlign w:val="bottom"/>
          </w:tcPr>
          <w:p w14:paraId="6C8A7BC1" w14:textId="471DAEA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582</w:t>
            </w:r>
          </w:p>
        </w:tc>
        <w:tc>
          <w:tcPr>
            <w:tcW w:w="3600" w:type="dxa"/>
            <w:vAlign w:val="bottom"/>
          </w:tcPr>
          <w:p w14:paraId="6A130A13" w14:textId="5CDA4C08"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319</w:t>
            </w:r>
          </w:p>
        </w:tc>
        <w:tc>
          <w:tcPr>
            <w:tcW w:w="3536" w:type="dxa"/>
            <w:vAlign w:val="bottom"/>
          </w:tcPr>
          <w:p w14:paraId="7726FD11" w14:textId="6943652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182</w:t>
            </w:r>
          </w:p>
        </w:tc>
      </w:tr>
      <w:tr w:rsidR="002F73F8" w:rsidRPr="00983855" w14:paraId="21E4CB68" w14:textId="77777777" w:rsidTr="002F73F8">
        <w:tc>
          <w:tcPr>
            <w:tcW w:w="2173" w:type="dxa"/>
          </w:tcPr>
          <w:p w14:paraId="0304A917" w14:textId="4277782E"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lastRenderedPageBreak/>
              <w:t>Chongqing</w:t>
            </w:r>
          </w:p>
        </w:tc>
        <w:tc>
          <w:tcPr>
            <w:tcW w:w="3227" w:type="dxa"/>
            <w:vAlign w:val="bottom"/>
          </w:tcPr>
          <w:p w14:paraId="64D77ADF" w14:textId="58C1C030"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699</w:t>
            </w:r>
          </w:p>
        </w:tc>
        <w:tc>
          <w:tcPr>
            <w:tcW w:w="3600" w:type="dxa"/>
            <w:vAlign w:val="bottom"/>
          </w:tcPr>
          <w:p w14:paraId="12D440BB" w14:textId="3DA3A3A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383</w:t>
            </w:r>
          </w:p>
        </w:tc>
        <w:tc>
          <w:tcPr>
            <w:tcW w:w="3536" w:type="dxa"/>
            <w:vAlign w:val="bottom"/>
          </w:tcPr>
          <w:p w14:paraId="55D8340A" w14:textId="0D87F188"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219</w:t>
            </w:r>
          </w:p>
        </w:tc>
      </w:tr>
      <w:tr w:rsidR="002F73F8" w:rsidRPr="00983855" w14:paraId="44757182" w14:textId="77777777" w:rsidTr="002F73F8">
        <w:tc>
          <w:tcPr>
            <w:tcW w:w="2173" w:type="dxa"/>
          </w:tcPr>
          <w:p w14:paraId="320A01AF" w14:textId="7C4A6396"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Sichuan</w:t>
            </w:r>
          </w:p>
        </w:tc>
        <w:tc>
          <w:tcPr>
            <w:tcW w:w="3227" w:type="dxa"/>
            <w:vAlign w:val="bottom"/>
          </w:tcPr>
          <w:p w14:paraId="44EF738F" w14:textId="1BF6DFE2"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582</w:t>
            </w:r>
          </w:p>
        </w:tc>
        <w:tc>
          <w:tcPr>
            <w:tcW w:w="3600" w:type="dxa"/>
            <w:vAlign w:val="bottom"/>
          </w:tcPr>
          <w:p w14:paraId="4282E8F4" w14:textId="49CA01D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319</w:t>
            </w:r>
          </w:p>
        </w:tc>
        <w:tc>
          <w:tcPr>
            <w:tcW w:w="3536" w:type="dxa"/>
            <w:vAlign w:val="bottom"/>
          </w:tcPr>
          <w:p w14:paraId="628D72AB" w14:textId="292ABFE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182</w:t>
            </w:r>
          </w:p>
        </w:tc>
      </w:tr>
      <w:tr w:rsidR="002F73F8" w:rsidRPr="00983855" w14:paraId="1BD924EA" w14:textId="77777777" w:rsidTr="002F73F8">
        <w:tc>
          <w:tcPr>
            <w:tcW w:w="2173" w:type="dxa"/>
          </w:tcPr>
          <w:p w14:paraId="1424419C" w14:textId="4CDB7165"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Guizhou</w:t>
            </w:r>
          </w:p>
        </w:tc>
        <w:tc>
          <w:tcPr>
            <w:tcW w:w="3227" w:type="dxa"/>
            <w:vAlign w:val="bottom"/>
          </w:tcPr>
          <w:p w14:paraId="4DF5B053" w14:textId="68F7B0E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444</w:t>
            </w:r>
          </w:p>
        </w:tc>
        <w:tc>
          <w:tcPr>
            <w:tcW w:w="3600" w:type="dxa"/>
            <w:vAlign w:val="bottom"/>
          </w:tcPr>
          <w:p w14:paraId="450A8AF2" w14:textId="65B5ED4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243</w:t>
            </w:r>
          </w:p>
        </w:tc>
        <w:tc>
          <w:tcPr>
            <w:tcW w:w="3536" w:type="dxa"/>
            <w:vAlign w:val="bottom"/>
          </w:tcPr>
          <w:p w14:paraId="0E791694" w14:textId="7A3D9700"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139</w:t>
            </w:r>
          </w:p>
        </w:tc>
      </w:tr>
      <w:tr w:rsidR="002F73F8" w:rsidRPr="00983855" w14:paraId="7FE1DBDB" w14:textId="77777777" w:rsidTr="002F73F8">
        <w:tc>
          <w:tcPr>
            <w:tcW w:w="2173" w:type="dxa"/>
          </w:tcPr>
          <w:p w14:paraId="7806AB10" w14:textId="638FFB27"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Yunnan</w:t>
            </w:r>
          </w:p>
        </w:tc>
        <w:tc>
          <w:tcPr>
            <w:tcW w:w="3227" w:type="dxa"/>
            <w:vAlign w:val="bottom"/>
          </w:tcPr>
          <w:p w14:paraId="32DD768E" w14:textId="014A528E"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509</w:t>
            </w:r>
          </w:p>
        </w:tc>
        <w:tc>
          <w:tcPr>
            <w:tcW w:w="3600" w:type="dxa"/>
            <w:vAlign w:val="bottom"/>
          </w:tcPr>
          <w:p w14:paraId="39CDDCE8" w14:textId="0F5C718C"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279</w:t>
            </w:r>
          </w:p>
        </w:tc>
        <w:tc>
          <w:tcPr>
            <w:tcW w:w="3536" w:type="dxa"/>
            <w:vAlign w:val="bottom"/>
          </w:tcPr>
          <w:p w14:paraId="53B6D9D2" w14:textId="79E61D2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160</w:t>
            </w:r>
          </w:p>
        </w:tc>
      </w:tr>
      <w:tr w:rsidR="002F73F8" w:rsidRPr="00983855" w14:paraId="09DC7B79" w14:textId="77777777" w:rsidTr="002F73F8">
        <w:tc>
          <w:tcPr>
            <w:tcW w:w="2173" w:type="dxa"/>
          </w:tcPr>
          <w:p w14:paraId="5243B1BE" w14:textId="25A2F7F0"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Xizang</w:t>
            </w:r>
          </w:p>
        </w:tc>
        <w:tc>
          <w:tcPr>
            <w:tcW w:w="3227" w:type="dxa"/>
            <w:vAlign w:val="bottom"/>
          </w:tcPr>
          <w:p w14:paraId="0A06BA8A" w14:textId="1B4DD3C0"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666</w:t>
            </w:r>
          </w:p>
        </w:tc>
        <w:tc>
          <w:tcPr>
            <w:tcW w:w="3600" w:type="dxa"/>
            <w:vAlign w:val="bottom"/>
          </w:tcPr>
          <w:p w14:paraId="0D86A875" w14:textId="687CB68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365</w:t>
            </w:r>
          </w:p>
        </w:tc>
        <w:tc>
          <w:tcPr>
            <w:tcW w:w="3536" w:type="dxa"/>
            <w:vAlign w:val="bottom"/>
          </w:tcPr>
          <w:p w14:paraId="2DC99269" w14:textId="7425A45D"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209</w:t>
            </w:r>
          </w:p>
        </w:tc>
      </w:tr>
      <w:tr w:rsidR="002F73F8" w:rsidRPr="00983855" w14:paraId="47735EB9" w14:textId="77777777" w:rsidTr="002F73F8">
        <w:tc>
          <w:tcPr>
            <w:tcW w:w="2173" w:type="dxa"/>
          </w:tcPr>
          <w:p w14:paraId="5B086BD0" w14:textId="7AA48C47"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Shaanxi</w:t>
            </w:r>
          </w:p>
        </w:tc>
        <w:tc>
          <w:tcPr>
            <w:tcW w:w="3227" w:type="dxa"/>
            <w:vAlign w:val="bottom"/>
          </w:tcPr>
          <w:p w14:paraId="6D1CF63B" w14:textId="13C12F24"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761</w:t>
            </w:r>
          </w:p>
        </w:tc>
        <w:tc>
          <w:tcPr>
            <w:tcW w:w="3600" w:type="dxa"/>
            <w:vAlign w:val="bottom"/>
          </w:tcPr>
          <w:p w14:paraId="51FF8DDF" w14:textId="1373AC32"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416</w:t>
            </w:r>
          </w:p>
        </w:tc>
        <w:tc>
          <w:tcPr>
            <w:tcW w:w="3536" w:type="dxa"/>
            <w:vAlign w:val="bottom"/>
          </w:tcPr>
          <w:p w14:paraId="6558B15D" w14:textId="498204F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238</w:t>
            </w:r>
          </w:p>
        </w:tc>
      </w:tr>
      <w:tr w:rsidR="002F73F8" w:rsidRPr="00983855" w14:paraId="6676E7B9" w14:textId="77777777" w:rsidTr="002F73F8">
        <w:tc>
          <w:tcPr>
            <w:tcW w:w="2173" w:type="dxa"/>
          </w:tcPr>
          <w:p w14:paraId="3C421F1E" w14:textId="15A68B76"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Gansu</w:t>
            </w:r>
          </w:p>
        </w:tc>
        <w:tc>
          <w:tcPr>
            <w:tcW w:w="3227" w:type="dxa"/>
            <w:vAlign w:val="bottom"/>
          </w:tcPr>
          <w:p w14:paraId="4FB0A0E8" w14:textId="753A3481"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565</w:t>
            </w:r>
          </w:p>
        </w:tc>
        <w:tc>
          <w:tcPr>
            <w:tcW w:w="3600" w:type="dxa"/>
            <w:vAlign w:val="bottom"/>
          </w:tcPr>
          <w:p w14:paraId="1C8D51F0" w14:textId="57A1A865"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309</w:t>
            </w:r>
          </w:p>
        </w:tc>
        <w:tc>
          <w:tcPr>
            <w:tcW w:w="3536" w:type="dxa"/>
            <w:vAlign w:val="bottom"/>
          </w:tcPr>
          <w:p w14:paraId="0BB7D646" w14:textId="15F41EBC"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177</w:t>
            </w:r>
          </w:p>
        </w:tc>
      </w:tr>
      <w:tr w:rsidR="002F73F8" w:rsidRPr="00983855" w14:paraId="3B198214" w14:textId="77777777" w:rsidTr="002F73F8">
        <w:tc>
          <w:tcPr>
            <w:tcW w:w="2173" w:type="dxa"/>
          </w:tcPr>
          <w:p w14:paraId="1ACF548E" w14:textId="57EBF0FE"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Qinghai</w:t>
            </w:r>
          </w:p>
        </w:tc>
        <w:tc>
          <w:tcPr>
            <w:tcW w:w="3227" w:type="dxa"/>
            <w:vAlign w:val="bottom"/>
          </w:tcPr>
          <w:p w14:paraId="1EEB9ED5" w14:textId="54FD38CD"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792</w:t>
            </w:r>
          </w:p>
        </w:tc>
        <w:tc>
          <w:tcPr>
            <w:tcW w:w="3600" w:type="dxa"/>
            <w:vAlign w:val="bottom"/>
          </w:tcPr>
          <w:p w14:paraId="6453009C" w14:textId="6FC6074D"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434</w:t>
            </w:r>
          </w:p>
        </w:tc>
        <w:tc>
          <w:tcPr>
            <w:tcW w:w="3536" w:type="dxa"/>
            <w:vAlign w:val="bottom"/>
          </w:tcPr>
          <w:p w14:paraId="78BAFB57" w14:textId="665BC728"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248</w:t>
            </w:r>
          </w:p>
        </w:tc>
      </w:tr>
      <w:tr w:rsidR="002F73F8" w:rsidRPr="00983855" w14:paraId="0EB885A6" w14:textId="77777777" w:rsidTr="00983855">
        <w:tc>
          <w:tcPr>
            <w:tcW w:w="2173" w:type="dxa"/>
            <w:tcBorders>
              <w:bottom w:val="nil"/>
            </w:tcBorders>
          </w:tcPr>
          <w:p w14:paraId="25BDB24D" w14:textId="11892940"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Ningxia</w:t>
            </w:r>
          </w:p>
        </w:tc>
        <w:tc>
          <w:tcPr>
            <w:tcW w:w="3227" w:type="dxa"/>
            <w:tcBorders>
              <w:bottom w:val="nil"/>
            </w:tcBorders>
            <w:vAlign w:val="bottom"/>
          </w:tcPr>
          <w:p w14:paraId="796E081D" w14:textId="11790357"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724</w:t>
            </w:r>
          </w:p>
        </w:tc>
        <w:tc>
          <w:tcPr>
            <w:tcW w:w="3600" w:type="dxa"/>
            <w:tcBorders>
              <w:bottom w:val="nil"/>
            </w:tcBorders>
            <w:vAlign w:val="bottom"/>
          </w:tcPr>
          <w:p w14:paraId="64F67AEA" w14:textId="1B13024C"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396</w:t>
            </w:r>
          </w:p>
        </w:tc>
        <w:tc>
          <w:tcPr>
            <w:tcW w:w="3536" w:type="dxa"/>
            <w:tcBorders>
              <w:bottom w:val="nil"/>
            </w:tcBorders>
            <w:vAlign w:val="bottom"/>
          </w:tcPr>
          <w:p w14:paraId="6AC4DE26" w14:textId="5748564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227</w:t>
            </w:r>
          </w:p>
        </w:tc>
      </w:tr>
      <w:tr w:rsidR="002F73F8" w:rsidRPr="00983855" w14:paraId="67A88ACC" w14:textId="77777777" w:rsidTr="00983855">
        <w:tc>
          <w:tcPr>
            <w:tcW w:w="2173" w:type="dxa"/>
            <w:tcBorders>
              <w:top w:val="nil"/>
              <w:bottom w:val="single" w:sz="18" w:space="0" w:color="auto"/>
            </w:tcBorders>
          </w:tcPr>
          <w:p w14:paraId="1A905B8B" w14:textId="56004215" w:rsidR="00B3512A" w:rsidRPr="00983855" w:rsidRDefault="00B3512A" w:rsidP="00EF3E52">
            <w:pPr>
              <w:pBdr>
                <w:top w:val="none" w:sz="0" w:space="0" w:color="auto"/>
                <w:left w:val="none" w:sz="0" w:space="0" w:color="auto"/>
                <w:bottom w:val="none" w:sz="0" w:space="0" w:color="auto"/>
                <w:right w:val="none" w:sz="0" w:space="0" w:color="auto"/>
                <w:between w:val="none" w:sz="0" w:space="0" w:color="auto"/>
              </w:pBdr>
              <w:spacing w:line="480" w:lineRule="auto"/>
            </w:pPr>
            <w:r w:rsidRPr="00983855">
              <w:t>Xinjiang</w:t>
            </w:r>
          </w:p>
        </w:tc>
        <w:tc>
          <w:tcPr>
            <w:tcW w:w="3227" w:type="dxa"/>
            <w:tcBorders>
              <w:top w:val="nil"/>
              <w:bottom w:val="single" w:sz="18" w:space="0" w:color="auto"/>
            </w:tcBorders>
            <w:vAlign w:val="bottom"/>
          </w:tcPr>
          <w:p w14:paraId="2F149600" w14:textId="6A81E58A"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pPr>
            <w:r w:rsidRPr="00983855">
              <w:rPr>
                <w:rFonts w:ascii="Times New Roman" w:eastAsia="Times New Roman" w:hAnsi="Times New Roman" w:cs="Times New Roman"/>
              </w:rPr>
              <w:t>830</w:t>
            </w:r>
          </w:p>
        </w:tc>
        <w:tc>
          <w:tcPr>
            <w:tcW w:w="3600" w:type="dxa"/>
            <w:tcBorders>
              <w:top w:val="nil"/>
              <w:bottom w:val="single" w:sz="18" w:space="0" w:color="auto"/>
            </w:tcBorders>
            <w:vAlign w:val="bottom"/>
          </w:tcPr>
          <w:p w14:paraId="5E2DC861" w14:textId="434BD1AF"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454</w:t>
            </w:r>
          </w:p>
        </w:tc>
        <w:tc>
          <w:tcPr>
            <w:tcW w:w="3536" w:type="dxa"/>
            <w:tcBorders>
              <w:top w:val="nil"/>
              <w:bottom w:val="single" w:sz="18" w:space="0" w:color="auto"/>
            </w:tcBorders>
            <w:vAlign w:val="bottom"/>
          </w:tcPr>
          <w:p w14:paraId="05463BDB" w14:textId="3A292BC6" w:rsidR="00B3512A" w:rsidRPr="00983855" w:rsidRDefault="00B3512A" w:rsidP="00DF17B9">
            <w:pPr>
              <w:pBdr>
                <w:top w:val="none" w:sz="0" w:space="0" w:color="auto"/>
                <w:left w:val="none" w:sz="0" w:space="0" w:color="auto"/>
                <w:bottom w:val="none" w:sz="0" w:space="0" w:color="auto"/>
                <w:right w:val="none" w:sz="0" w:space="0" w:color="auto"/>
                <w:between w:val="none" w:sz="0" w:space="0" w:color="auto"/>
              </w:pBdr>
              <w:spacing w:line="480" w:lineRule="auto"/>
              <w:jc w:val="right"/>
              <w:rPr>
                <w:rFonts w:ascii="Times New Roman" w:eastAsia="Times New Roman" w:hAnsi="Times New Roman" w:cs="Times New Roman"/>
              </w:rPr>
            </w:pPr>
            <w:r w:rsidRPr="00983855">
              <w:rPr>
                <w:rFonts w:ascii="Times New Roman" w:eastAsia="Times New Roman" w:hAnsi="Times New Roman" w:cs="Times New Roman"/>
              </w:rPr>
              <w:t>260</w:t>
            </w:r>
          </w:p>
        </w:tc>
      </w:tr>
    </w:tbl>
    <w:p w14:paraId="1E324CA7" w14:textId="77605A64" w:rsidR="0020317A" w:rsidRPr="00983855" w:rsidRDefault="00A02DFB" w:rsidP="00983855">
      <w:pPr>
        <w:spacing w:line="360" w:lineRule="auto"/>
        <w:rPr>
          <w:lang w:eastAsia="zh-CN"/>
        </w:rPr>
      </w:pPr>
      <w:r w:rsidRPr="00983855">
        <w:rPr>
          <w:rFonts w:ascii="Helvetica Neue" w:eastAsia="Helvetica Neue" w:hAnsi="Helvetica Neue" w:cs="Helvetica Neue"/>
          <w:color w:val="353535"/>
        </w:rPr>
        <w:t>*</w:t>
      </w:r>
      <w:r w:rsidRPr="00983855">
        <w:rPr>
          <w:rFonts w:ascii="Helvetica Neue" w:eastAsia="Helvetica Neue" w:hAnsi="Helvetica Neue" w:cs="Helvetica Neue" w:hint="eastAsia"/>
          <w:color w:val="353535"/>
          <w:lang w:eastAsia="zh-CN"/>
        </w:rPr>
        <w:t xml:space="preserve"> </w:t>
      </w:r>
      <w:r w:rsidR="00B31F80" w:rsidRPr="00983855">
        <w:t>The total health expenditure</w:t>
      </w:r>
      <w:r w:rsidR="008546BE" w:rsidRPr="00983855">
        <w:t xml:space="preserve"> per </w:t>
      </w:r>
      <w:r w:rsidR="00FB7A33" w:rsidRPr="00983855">
        <w:t>person</w:t>
      </w:r>
      <w:r w:rsidR="002F3FF4" w:rsidRPr="00983855">
        <w:t xml:space="preserve"> </w:t>
      </w:r>
      <w:r w:rsidR="00B31F80" w:rsidRPr="00983855">
        <w:t xml:space="preserve">by provincial region </w:t>
      </w:r>
      <w:r w:rsidR="008F2C85" w:rsidRPr="00983855">
        <w:t xml:space="preserve">in 2013 </w:t>
      </w:r>
      <w:r w:rsidR="00B31F80" w:rsidRPr="00983855">
        <w:t xml:space="preserve">were obtained from the </w:t>
      </w:r>
      <w:r w:rsidR="00916050" w:rsidRPr="00983855">
        <w:t xml:space="preserve">2014 </w:t>
      </w:r>
      <w:r w:rsidR="00DC1543">
        <w:t xml:space="preserve">Health Statistical Yearbook </w:t>
      </w:r>
      <w:r w:rsidR="00DC1543">
        <w:rPr>
          <w:rFonts w:hint="eastAsia"/>
          <w:lang w:eastAsia="zh-CN"/>
        </w:rPr>
        <w:t>[6]</w:t>
      </w:r>
      <w:r w:rsidR="0020317A" w:rsidRPr="00983855">
        <w:t>.</w:t>
      </w:r>
    </w:p>
    <w:p w14:paraId="42283D27" w14:textId="6F878B89" w:rsidR="0041043D" w:rsidRPr="00983855" w:rsidRDefault="00A02DFB" w:rsidP="00983855">
      <w:pPr>
        <w:spacing w:line="360" w:lineRule="auto"/>
      </w:pPr>
      <w:r w:rsidRPr="00983855">
        <w:rPr>
          <w:rFonts w:ascii="Helvetica" w:hAnsi="Helvetica"/>
          <w:color w:val="353535"/>
        </w:rPr>
        <w:t>†</w:t>
      </w:r>
      <w:r w:rsidRPr="00983855">
        <w:rPr>
          <w:rFonts w:ascii="Helvetica" w:hAnsi="Helvetica" w:hint="eastAsia"/>
          <w:color w:val="353535"/>
          <w:lang w:eastAsia="zh-CN"/>
        </w:rPr>
        <w:t xml:space="preserve"> </w:t>
      </w:r>
      <w:r w:rsidR="0041043D" w:rsidRPr="00983855">
        <w:t xml:space="preserve">The purchasing power parities exchange rate </w:t>
      </w:r>
      <w:r w:rsidR="006D7C62" w:rsidRPr="00983855">
        <w:t>in 2013 (1 US</w:t>
      </w:r>
      <w:r w:rsidR="006D7C62" w:rsidRPr="00983855">
        <w:rPr>
          <w:rFonts w:hint="eastAsia"/>
          <w:lang w:eastAsia="zh-CN"/>
        </w:rPr>
        <w:t>D</w:t>
      </w:r>
      <w:r w:rsidR="006D7C62" w:rsidRPr="00983855">
        <w:rPr>
          <w:rFonts w:hint="eastAsia"/>
          <w:lang w:eastAsia="zh-CN"/>
        </w:rPr>
        <w:t>≈</w:t>
      </w:r>
      <w:r w:rsidR="006D7C62" w:rsidRPr="00983855">
        <w:rPr>
          <w:rFonts w:hint="eastAsia"/>
          <w:lang w:eastAsia="zh-CN"/>
        </w:rPr>
        <w:t>3.55 CNY</w:t>
      </w:r>
      <w:r w:rsidR="006D7C62" w:rsidRPr="00983855">
        <w:t xml:space="preserve">) </w:t>
      </w:r>
      <w:r w:rsidR="0041043D" w:rsidRPr="00983855">
        <w:t xml:space="preserve">was obtained from </w:t>
      </w:r>
      <w:r w:rsidR="000C4ED8" w:rsidRPr="00983855">
        <w:t>the World Bank</w:t>
      </w:r>
      <w:r w:rsidR="00DC1543">
        <w:rPr>
          <w:rFonts w:hint="eastAsia"/>
          <w:lang w:eastAsia="zh-CN"/>
        </w:rPr>
        <w:t xml:space="preserve"> [7]</w:t>
      </w:r>
      <w:r w:rsidR="0041043D" w:rsidRPr="00983855">
        <w:t>.</w:t>
      </w:r>
    </w:p>
    <w:p w14:paraId="075B1B35" w14:textId="1106DA44" w:rsidR="00651BC4" w:rsidRPr="00983855" w:rsidRDefault="00A02DFB" w:rsidP="00983855">
      <w:pPr>
        <w:spacing w:line="360" w:lineRule="auto"/>
        <w:rPr>
          <w:lang w:eastAsia="zh-CN"/>
        </w:rPr>
      </w:pPr>
      <w:r w:rsidRPr="00983855">
        <w:rPr>
          <w:rFonts w:ascii="Helvetica" w:hAnsi="Helvetica"/>
          <w:color w:val="353535"/>
        </w:rPr>
        <w:t>‡</w:t>
      </w:r>
      <w:r w:rsidRPr="00983855">
        <w:rPr>
          <w:rFonts w:ascii="Helvetica" w:hAnsi="Helvetica" w:hint="eastAsia"/>
          <w:color w:val="353535"/>
          <w:lang w:eastAsia="zh-CN"/>
        </w:rPr>
        <w:t xml:space="preserve"> </w:t>
      </w:r>
      <w:r w:rsidR="006D7C62" w:rsidRPr="00983855">
        <w:t>The average exchange rate in 2013 (1 US</w:t>
      </w:r>
      <w:r w:rsidR="006D7C62" w:rsidRPr="00983855">
        <w:rPr>
          <w:rFonts w:hint="eastAsia"/>
          <w:lang w:eastAsia="zh-CN"/>
        </w:rPr>
        <w:t>D</w:t>
      </w:r>
      <w:r w:rsidR="006D7C62" w:rsidRPr="00983855">
        <w:rPr>
          <w:rFonts w:hint="eastAsia"/>
          <w:lang w:eastAsia="zh-CN"/>
        </w:rPr>
        <w:t>≈</w:t>
      </w:r>
      <w:r w:rsidR="006D7C62" w:rsidRPr="00983855">
        <w:rPr>
          <w:rFonts w:hint="eastAsia"/>
          <w:lang w:eastAsia="zh-CN"/>
        </w:rPr>
        <w:t>6.20 CNY</w:t>
      </w:r>
      <w:r w:rsidR="006D7C62" w:rsidRPr="00983855">
        <w:t xml:space="preserve">) was obtained from </w:t>
      </w:r>
      <w:r w:rsidR="002F73F8" w:rsidRPr="00983855">
        <w:rPr>
          <w:rFonts w:hint="eastAsia"/>
          <w:lang w:eastAsia="zh-CN"/>
        </w:rPr>
        <w:t xml:space="preserve">World Bank </w:t>
      </w:r>
      <w:r w:rsidR="00DC1543">
        <w:rPr>
          <w:rFonts w:hint="eastAsia"/>
          <w:lang w:eastAsia="zh-CN"/>
        </w:rPr>
        <w:t>[8]</w:t>
      </w:r>
      <w:r w:rsidR="006D7C62" w:rsidRPr="00983855">
        <w:rPr>
          <w:rFonts w:hint="eastAsia"/>
          <w:lang w:eastAsia="zh-CN"/>
        </w:rPr>
        <w:t>.</w:t>
      </w:r>
    </w:p>
    <w:p w14:paraId="01261E54" w14:textId="730D32AD" w:rsidR="002F73F8" w:rsidRPr="00983855" w:rsidRDefault="008541F3" w:rsidP="00A161CD">
      <w:pPr>
        <w:pStyle w:val="Heading1"/>
        <w:spacing w:line="480" w:lineRule="auto"/>
        <w:rPr>
          <w:rFonts w:ascii="Cambria" w:eastAsia="Cambria" w:hAnsi="Cambria" w:cs="Cambria"/>
          <w:b/>
          <w:sz w:val="24"/>
          <w:szCs w:val="24"/>
          <w:lang w:eastAsia="zh-CN"/>
        </w:rPr>
      </w:pPr>
      <w:bookmarkStart w:id="6" w:name="_Toc515773209"/>
      <w:r w:rsidRPr="00983855">
        <w:rPr>
          <w:rFonts w:ascii="Cambria" w:eastAsia="Cambria" w:hAnsi="Cambria" w:cs="Cambria" w:hint="eastAsia"/>
          <w:b/>
          <w:sz w:val="24"/>
          <w:szCs w:val="24"/>
          <w:lang w:eastAsia="zh-CN"/>
        </w:rPr>
        <w:lastRenderedPageBreak/>
        <w:t>5</w:t>
      </w:r>
      <w:r w:rsidR="00A161CD" w:rsidRPr="00983855">
        <w:rPr>
          <w:rFonts w:ascii="Cambria" w:eastAsia="Cambria" w:hAnsi="Cambria" w:cs="Cambria"/>
          <w:b/>
          <w:sz w:val="24"/>
          <w:szCs w:val="24"/>
        </w:rPr>
        <w:t xml:space="preserve">. </w:t>
      </w:r>
      <w:r w:rsidR="00043A87" w:rsidRPr="00983855">
        <w:rPr>
          <w:rFonts w:ascii="Cambria" w:eastAsia="Cambria" w:hAnsi="Cambria" w:cs="Cambria" w:hint="eastAsia"/>
          <w:b/>
          <w:sz w:val="24"/>
          <w:szCs w:val="24"/>
          <w:lang w:eastAsia="zh-CN"/>
        </w:rPr>
        <w:t>T</w:t>
      </w:r>
      <w:r w:rsidR="002F73F8" w:rsidRPr="00983855">
        <w:rPr>
          <w:rFonts w:ascii="Cambria" w:eastAsia="Cambria" w:hAnsi="Cambria" w:cs="Cambria" w:hint="eastAsia"/>
          <w:b/>
          <w:sz w:val="24"/>
          <w:szCs w:val="24"/>
          <w:lang w:eastAsia="zh-CN"/>
        </w:rPr>
        <w:t>he</w:t>
      </w:r>
      <w:r w:rsidR="00043A87" w:rsidRPr="00983855">
        <w:rPr>
          <w:rFonts w:ascii="Cambria" w:eastAsia="Cambria" w:hAnsi="Cambria" w:cs="Cambria" w:hint="eastAsia"/>
          <w:b/>
          <w:sz w:val="24"/>
          <w:szCs w:val="24"/>
          <w:lang w:eastAsia="zh-CN"/>
        </w:rPr>
        <w:t xml:space="preserve"> </w:t>
      </w:r>
      <w:r w:rsidR="002F73F8" w:rsidRPr="00983855">
        <w:rPr>
          <w:rFonts w:ascii="Cambria" w:eastAsia="Cambria" w:hAnsi="Cambria" w:cs="Cambria" w:hint="eastAsia"/>
          <w:b/>
          <w:sz w:val="24"/>
          <w:szCs w:val="24"/>
          <w:lang w:eastAsia="zh-CN"/>
        </w:rPr>
        <w:t>NCMS</w:t>
      </w:r>
      <w:r w:rsidR="002F73F8" w:rsidRPr="00983855">
        <w:rPr>
          <w:rFonts w:ascii="Cambria" w:eastAsia="Cambria" w:hAnsi="Cambria" w:cs="Cambria"/>
          <w:b/>
          <w:sz w:val="24"/>
          <w:szCs w:val="24"/>
          <w:lang w:eastAsia="zh-CN"/>
        </w:rPr>
        <w:t>’</w:t>
      </w:r>
      <w:r w:rsidR="002F73F8" w:rsidRPr="00983855">
        <w:rPr>
          <w:rFonts w:ascii="Cambria" w:eastAsia="Cambria" w:hAnsi="Cambria" w:cs="Cambria" w:hint="eastAsia"/>
          <w:b/>
          <w:sz w:val="24"/>
          <w:szCs w:val="24"/>
          <w:lang w:eastAsia="zh-CN"/>
        </w:rPr>
        <w:t xml:space="preserve">s effect on labor force </w:t>
      </w:r>
      <w:r w:rsidR="002F73F8" w:rsidRPr="00983855">
        <w:rPr>
          <w:rFonts w:ascii="Cambria" w:eastAsia="Cambria" w:hAnsi="Cambria" w:cs="Cambria"/>
          <w:b/>
          <w:sz w:val="24"/>
          <w:szCs w:val="24"/>
          <w:lang w:eastAsia="zh-CN"/>
        </w:rPr>
        <w:t>participation</w:t>
      </w:r>
      <w:bookmarkEnd w:id="6"/>
    </w:p>
    <w:p w14:paraId="66F2E1AA" w14:textId="03C3F748" w:rsidR="00044DAF" w:rsidRPr="00983855" w:rsidRDefault="0072416B" w:rsidP="00044DAF">
      <w:pPr>
        <w:spacing w:line="480" w:lineRule="auto"/>
        <w:ind w:firstLine="360"/>
        <w:rPr>
          <w:lang w:eastAsia="zh-CN"/>
        </w:rPr>
      </w:pPr>
      <w:r w:rsidRPr="00983855">
        <w:rPr>
          <w:rFonts w:hint="eastAsia"/>
          <w:lang w:eastAsia="zh-CN"/>
        </w:rPr>
        <w:t>Shen et al (2017) found that t</w:t>
      </w:r>
      <w:r w:rsidRPr="00983855">
        <w:t xml:space="preserve">he </w:t>
      </w:r>
      <w:r w:rsidR="002F73F8" w:rsidRPr="00983855">
        <w:t xml:space="preserve">NCMS increased the </w:t>
      </w:r>
      <w:r w:rsidR="00196709" w:rsidRPr="00983855">
        <w:rPr>
          <w:rFonts w:hint="eastAsia"/>
          <w:lang w:eastAsia="zh-CN"/>
        </w:rPr>
        <w:t>number of hours worked</w:t>
      </w:r>
      <w:r w:rsidR="002F73F8" w:rsidRPr="00983855">
        <w:rPr>
          <w:rFonts w:hint="eastAsia"/>
          <w:lang w:eastAsia="zh-CN"/>
        </w:rPr>
        <w:t xml:space="preserve"> in </w:t>
      </w:r>
      <w:r w:rsidR="002F73F8" w:rsidRPr="00983855">
        <w:t xml:space="preserve">agriculture and the probability of off-farm labor participation </w:t>
      </w:r>
      <w:r w:rsidR="00F321B8" w:rsidRPr="00983855">
        <w:rPr>
          <w:rFonts w:hint="eastAsia"/>
          <w:lang w:eastAsia="zh-CN"/>
        </w:rPr>
        <w:t xml:space="preserve">among rural residents aged </w:t>
      </w:r>
      <w:r w:rsidR="00282BA2" w:rsidRPr="00983855">
        <w:rPr>
          <w:rFonts w:hint="eastAsia"/>
          <w:lang w:eastAsia="zh-CN"/>
        </w:rPr>
        <w:t>at least 30 years old</w:t>
      </w:r>
      <w:r w:rsidR="00F321B8" w:rsidRPr="00983855">
        <w:rPr>
          <w:rFonts w:hint="eastAsia"/>
          <w:lang w:eastAsia="zh-CN"/>
        </w:rPr>
        <w:t xml:space="preserve"> </w:t>
      </w:r>
      <w:r w:rsidR="002F73F8" w:rsidRPr="00983855">
        <w:t>(</w:t>
      </w:r>
      <w:r w:rsidR="00490C03">
        <w:t xml:space="preserve">See </w:t>
      </w:r>
      <w:r w:rsidRPr="00983855">
        <w:rPr>
          <w:rFonts w:hint="eastAsia"/>
          <w:lang w:eastAsia="zh-CN"/>
        </w:rPr>
        <w:t>Table</w:t>
      </w:r>
      <w:r w:rsidR="00490C03">
        <w:rPr>
          <w:rFonts w:hint="eastAsia"/>
          <w:lang w:eastAsia="zh-CN"/>
        </w:rPr>
        <w:t xml:space="preserve"> E</w:t>
      </w:r>
      <w:r w:rsidR="002F73F8" w:rsidRPr="00983855">
        <w:t>)</w:t>
      </w:r>
      <w:r w:rsidR="002A6959">
        <w:rPr>
          <w:rFonts w:hint="eastAsia"/>
          <w:lang w:eastAsia="zh-CN"/>
        </w:rPr>
        <w:t xml:space="preserve"> </w:t>
      </w:r>
      <w:r w:rsidR="00DC1543">
        <w:rPr>
          <w:rFonts w:hint="eastAsia"/>
          <w:lang w:eastAsia="zh-CN"/>
        </w:rPr>
        <w:t>[9]</w:t>
      </w:r>
      <w:r w:rsidR="002F73F8" w:rsidRPr="00983855">
        <w:t>.</w:t>
      </w:r>
      <w:r w:rsidR="005651C6" w:rsidRPr="00983855">
        <w:rPr>
          <w:rFonts w:hint="eastAsia"/>
          <w:lang w:eastAsia="zh-CN"/>
        </w:rPr>
        <w:t xml:space="preserve"> </w:t>
      </w:r>
      <w:r w:rsidR="000C1924" w:rsidRPr="00983855">
        <w:rPr>
          <w:rFonts w:hint="eastAsia"/>
          <w:lang w:eastAsia="zh-CN"/>
        </w:rPr>
        <w:t>T</w:t>
      </w:r>
      <w:r w:rsidR="005651C6" w:rsidRPr="00983855">
        <w:rPr>
          <w:rFonts w:hint="eastAsia"/>
          <w:lang w:eastAsia="zh-CN"/>
        </w:rPr>
        <w:t xml:space="preserve">he number of hours worked </w:t>
      </w:r>
      <w:r w:rsidR="00F72072" w:rsidRPr="00983855">
        <w:rPr>
          <w:rFonts w:hint="eastAsia"/>
          <w:lang w:eastAsia="zh-CN"/>
        </w:rPr>
        <w:t xml:space="preserve">in agriculture (556 hours per year) </w:t>
      </w:r>
      <w:r w:rsidR="000C1924" w:rsidRPr="00983855">
        <w:rPr>
          <w:rFonts w:hint="eastAsia"/>
          <w:lang w:eastAsia="zh-CN"/>
        </w:rPr>
        <w:t xml:space="preserve">and the probability of off-farm labor participation </w:t>
      </w:r>
      <w:r w:rsidR="008B664C" w:rsidRPr="00983855">
        <w:rPr>
          <w:rFonts w:hint="eastAsia"/>
          <w:lang w:eastAsia="zh-CN"/>
        </w:rPr>
        <w:t xml:space="preserve">(16.5%) </w:t>
      </w:r>
      <w:r w:rsidR="000C1924" w:rsidRPr="00983855">
        <w:rPr>
          <w:rFonts w:hint="eastAsia"/>
          <w:lang w:eastAsia="zh-CN"/>
        </w:rPr>
        <w:t xml:space="preserve">among the non-NCMS group during the post period of 2006 were </w:t>
      </w:r>
      <w:r w:rsidR="00916050" w:rsidRPr="00983855">
        <w:rPr>
          <w:lang w:eastAsia="zh-CN"/>
        </w:rPr>
        <w:t>considered</w:t>
      </w:r>
      <w:r w:rsidR="00916050" w:rsidRPr="00983855">
        <w:rPr>
          <w:rFonts w:hint="eastAsia"/>
          <w:lang w:eastAsia="zh-CN"/>
        </w:rPr>
        <w:t xml:space="preserve"> </w:t>
      </w:r>
      <w:r w:rsidR="000C1924" w:rsidRPr="00983855">
        <w:rPr>
          <w:rFonts w:hint="eastAsia"/>
          <w:lang w:eastAsia="zh-CN"/>
        </w:rPr>
        <w:t>as the baseline values in the control group</w:t>
      </w:r>
      <w:r w:rsidR="00F72072" w:rsidRPr="00983855">
        <w:rPr>
          <w:rFonts w:hint="eastAsia"/>
          <w:lang w:eastAsia="zh-CN"/>
        </w:rPr>
        <w:t xml:space="preserve"> </w:t>
      </w:r>
      <w:r w:rsidR="002A6959">
        <w:rPr>
          <w:rFonts w:hint="eastAsia"/>
          <w:lang w:eastAsia="zh-CN"/>
        </w:rPr>
        <w:t>[</w:t>
      </w:r>
      <w:r w:rsidR="00DC1543">
        <w:rPr>
          <w:rFonts w:hint="eastAsia"/>
          <w:lang w:eastAsia="zh-CN"/>
        </w:rPr>
        <w:t>9]</w:t>
      </w:r>
      <w:r w:rsidR="000C1924" w:rsidRPr="00983855">
        <w:rPr>
          <w:rFonts w:hint="eastAsia"/>
          <w:lang w:eastAsia="zh-CN"/>
        </w:rPr>
        <w:t>.</w:t>
      </w:r>
      <w:r w:rsidR="00D300EF" w:rsidRPr="00983855">
        <w:rPr>
          <w:rFonts w:hint="eastAsia"/>
          <w:lang w:eastAsia="zh-CN"/>
        </w:rPr>
        <w:t xml:space="preserve"> </w:t>
      </w:r>
    </w:p>
    <w:p w14:paraId="0A0546B8" w14:textId="4DA1CD2B" w:rsidR="00044DAF" w:rsidRPr="00983855" w:rsidRDefault="00044DAF" w:rsidP="00983855">
      <w:pPr>
        <w:spacing w:line="360" w:lineRule="auto"/>
        <w:rPr>
          <w:b/>
          <w:lang w:eastAsia="zh-CN"/>
        </w:rPr>
      </w:pPr>
      <w:r w:rsidRPr="00983855">
        <w:rPr>
          <w:b/>
          <w:lang w:eastAsia="zh-CN"/>
        </w:rPr>
        <w:t>Table</w:t>
      </w:r>
      <w:r w:rsidR="00536D8C">
        <w:rPr>
          <w:rFonts w:hint="eastAsia"/>
          <w:b/>
          <w:lang w:eastAsia="zh-CN"/>
        </w:rPr>
        <w:t xml:space="preserve"> E</w:t>
      </w:r>
      <w:r w:rsidRPr="00983855">
        <w:rPr>
          <w:b/>
          <w:lang w:eastAsia="zh-CN"/>
        </w:rPr>
        <w:t xml:space="preserve">. The effects of NCMS on labor force participation by age groups </w:t>
      </w:r>
      <w:r w:rsidR="00015A88">
        <w:rPr>
          <w:b/>
          <w:lang w:eastAsia="zh-CN"/>
        </w:rPr>
        <w:t>in rural China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393"/>
        <w:gridCol w:w="3315"/>
      </w:tblGrid>
      <w:tr w:rsidR="00044DAF" w:rsidRPr="00983855" w14:paraId="302009F1" w14:textId="77777777" w:rsidTr="00983855">
        <w:trPr>
          <w:jc w:val="center"/>
        </w:trPr>
        <w:tc>
          <w:tcPr>
            <w:tcW w:w="3096" w:type="dxa"/>
            <w:tcBorders>
              <w:top w:val="single" w:sz="18" w:space="0" w:color="auto"/>
              <w:bottom w:val="single" w:sz="4" w:space="0" w:color="auto"/>
            </w:tcBorders>
          </w:tcPr>
          <w:p w14:paraId="0776A5CA"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rPr>
                <w:b/>
                <w:lang w:eastAsia="zh-CN"/>
              </w:rPr>
            </w:pPr>
          </w:p>
        </w:tc>
        <w:tc>
          <w:tcPr>
            <w:tcW w:w="3393" w:type="dxa"/>
            <w:tcBorders>
              <w:top w:val="single" w:sz="18" w:space="0" w:color="auto"/>
              <w:bottom w:val="single" w:sz="4" w:space="0" w:color="auto"/>
            </w:tcBorders>
          </w:tcPr>
          <w:p w14:paraId="6DC2D88C"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eastAsia="zh-CN"/>
              </w:rPr>
            </w:pPr>
            <w:r w:rsidRPr="00983855">
              <w:rPr>
                <w:b/>
                <w:lang w:eastAsia="zh-CN"/>
              </w:rPr>
              <w:t>Increase in the number of hours worked in agriculture due to the NCMS</w:t>
            </w:r>
          </w:p>
        </w:tc>
        <w:tc>
          <w:tcPr>
            <w:tcW w:w="3315" w:type="dxa"/>
            <w:tcBorders>
              <w:top w:val="single" w:sz="18" w:space="0" w:color="auto"/>
              <w:bottom w:val="single" w:sz="4" w:space="0" w:color="auto"/>
            </w:tcBorders>
          </w:tcPr>
          <w:p w14:paraId="66FA6C77"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center"/>
              <w:rPr>
                <w:b/>
                <w:lang w:eastAsia="zh-CN"/>
              </w:rPr>
            </w:pPr>
            <w:r w:rsidRPr="00983855">
              <w:rPr>
                <w:b/>
                <w:lang w:eastAsia="zh-CN"/>
              </w:rPr>
              <w:t>Increase in the likelihood of off-farm labor participation due to the NCMS</w:t>
            </w:r>
          </w:p>
        </w:tc>
      </w:tr>
      <w:tr w:rsidR="00044DAF" w:rsidRPr="00983855" w14:paraId="0812126C" w14:textId="77777777" w:rsidTr="00983855">
        <w:trPr>
          <w:jc w:val="center"/>
        </w:trPr>
        <w:tc>
          <w:tcPr>
            <w:tcW w:w="3096" w:type="dxa"/>
            <w:tcBorders>
              <w:top w:val="single" w:sz="4" w:space="0" w:color="auto"/>
            </w:tcBorders>
          </w:tcPr>
          <w:p w14:paraId="582A2DED"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rPr>
                <w:lang w:eastAsia="zh-CN"/>
              </w:rPr>
            </w:pPr>
            <w:r w:rsidRPr="00983855">
              <w:rPr>
                <w:rFonts w:hint="eastAsia"/>
                <w:lang w:eastAsia="zh-CN"/>
              </w:rPr>
              <w:t>Age between 30-49 years</w:t>
            </w:r>
          </w:p>
        </w:tc>
        <w:tc>
          <w:tcPr>
            <w:tcW w:w="3393" w:type="dxa"/>
            <w:tcBorders>
              <w:top w:val="single" w:sz="4" w:space="0" w:color="auto"/>
            </w:tcBorders>
            <w:vAlign w:val="center"/>
          </w:tcPr>
          <w:p w14:paraId="6530D2F5"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right"/>
              <w:rPr>
                <w:lang w:eastAsia="zh-CN"/>
              </w:rPr>
            </w:pPr>
            <w:r w:rsidRPr="00983855">
              <w:rPr>
                <w:rFonts w:hint="eastAsia"/>
                <w:lang w:eastAsia="zh-CN"/>
              </w:rPr>
              <w:t>1.097</w:t>
            </w:r>
          </w:p>
        </w:tc>
        <w:tc>
          <w:tcPr>
            <w:tcW w:w="3315" w:type="dxa"/>
            <w:tcBorders>
              <w:top w:val="single" w:sz="4" w:space="0" w:color="auto"/>
            </w:tcBorders>
            <w:vAlign w:val="center"/>
          </w:tcPr>
          <w:p w14:paraId="1D19F67E"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right"/>
              <w:rPr>
                <w:lang w:eastAsia="zh-CN"/>
              </w:rPr>
            </w:pPr>
            <w:r w:rsidRPr="00983855">
              <w:rPr>
                <w:rFonts w:hint="eastAsia"/>
                <w:lang w:eastAsia="zh-CN"/>
              </w:rPr>
              <w:t>0.134</w:t>
            </w:r>
          </w:p>
        </w:tc>
      </w:tr>
      <w:tr w:rsidR="00044DAF" w:rsidRPr="00983855" w14:paraId="3D389F73" w14:textId="77777777" w:rsidTr="00983855">
        <w:trPr>
          <w:jc w:val="center"/>
        </w:trPr>
        <w:tc>
          <w:tcPr>
            <w:tcW w:w="3096" w:type="dxa"/>
            <w:tcBorders>
              <w:bottom w:val="single" w:sz="4" w:space="0" w:color="auto"/>
            </w:tcBorders>
          </w:tcPr>
          <w:p w14:paraId="38597A20"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rPr>
                <w:lang w:eastAsia="zh-CN"/>
              </w:rPr>
            </w:pPr>
            <w:r w:rsidRPr="00983855">
              <w:rPr>
                <w:rFonts w:hint="eastAsia"/>
                <w:lang w:eastAsia="zh-CN"/>
              </w:rPr>
              <w:t>Age 50 years or more</w:t>
            </w:r>
          </w:p>
        </w:tc>
        <w:tc>
          <w:tcPr>
            <w:tcW w:w="3393" w:type="dxa"/>
            <w:tcBorders>
              <w:bottom w:val="single" w:sz="4" w:space="0" w:color="auto"/>
            </w:tcBorders>
            <w:vAlign w:val="center"/>
          </w:tcPr>
          <w:p w14:paraId="5BAEDCA3"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right"/>
              <w:rPr>
                <w:lang w:eastAsia="zh-CN"/>
              </w:rPr>
            </w:pPr>
            <w:r w:rsidRPr="00983855">
              <w:rPr>
                <w:rFonts w:hint="eastAsia"/>
                <w:lang w:eastAsia="zh-CN"/>
              </w:rPr>
              <w:t>1.280</w:t>
            </w:r>
          </w:p>
        </w:tc>
        <w:tc>
          <w:tcPr>
            <w:tcW w:w="3315" w:type="dxa"/>
            <w:tcBorders>
              <w:bottom w:val="single" w:sz="4" w:space="0" w:color="auto"/>
            </w:tcBorders>
            <w:vAlign w:val="center"/>
          </w:tcPr>
          <w:p w14:paraId="5E535033"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jc w:val="right"/>
              <w:rPr>
                <w:lang w:eastAsia="zh-CN"/>
              </w:rPr>
            </w:pPr>
            <w:r w:rsidRPr="00983855">
              <w:rPr>
                <w:rFonts w:hint="eastAsia"/>
                <w:lang w:eastAsia="zh-CN"/>
              </w:rPr>
              <w:t>0.069</w:t>
            </w:r>
          </w:p>
        </w:tc>
      </w:tr>
      <w:tr w:rsidR="00044DAF" w:rsidRPr="00983855" w14:paraId="6D3009BF" w14:textId="77777777" w:rsidTr="00983855">
        <w:trPr>
          <w:jc w:val="center"/>
        </w:trPr>
        <w:tc>
          <w:tcPr>
            <w:tcW w:w="9804" w:type="dxa"/>
            <w:gridSpan w:val="3"/>
            <w:tcBorders>
              <w:top w:val="single" w:sz="4" w:space="0" w:color="auto"/>
              <w:bottom w:val="single" w:sz="18" w:space="0" w:color="auto"/>
            </w:tcBorders>
            <w:vAlign w:val="center"/>
          </w:tcPr>
          <w:p w14:paraId="4049E056" w14:textId="77777777" w:rsidR="00044DAF" w:rsidRPr="00983855" w:rsidRDefault="00044DAF" w:rsidP="00DF003B">
            <w:pPr>
              <w:pBdr>
                <w:top w:val="none" w:sz="0" w:space="0" w:color="auto"/>
                <w:left w:val="none" w:sz="0" w:space="0" w:color="auto"/>
                <w:bottom w:val="none" w:sz="0" w:space="0" w:color="auto"/>
                <w:right w:val="none" w:sz="0" w:space="0" w:color="auto"/>
                <w:between w:val="none" w:sz="0" w:space="0" w:color="auto"/>
              </w:pBdr>
              <w:spacing w:line="360" w:lineRule="auto"/>
              <w:rPr>
                <w:lang w:eastAsia="zh-CN"/>
              </w:rPr>
            </w:pPr>
            <w:r w:rsidRPr="00983855">
              <w:rPr>
                <w:rFonts w:hint="eastAsia"/>
                <w:lang w:eastAsia="zh-CN"/>
              </w:rPr>
              <w:t>Source: Shen et al., 2017, China Agricultural Economic Review.</w:t>
            </w:r>
          </w:p>
        </w:tc>
      </w:tr>
    </w:tbl>
    <w:p w14:paraId="78D9E68D" w14:textId="77777777" w:rsidR="00097AF0" w:rsidRPr="00983855" w:rsidRDefault="00097AF0" w:rsidP="00044DAF">
      <w:pPr>
        <w:spacing w:line="480" w:lineRule="auto"/>
        <w:rPr>
          <w:lang w:eastAsia="zh-CN"/>
        </w:rPr>
      </w:pPr>
    </w:p>
    <w:p w14:paraId="3A7D1049" w14:textId="5CA4EFFD" w:rsidR="00A90AFA" w:rsidRPr="00983855" w:rsidRDefault="00641B2F" w:rsidP="00A90AFA">
      <w:pPr>
        <w:spacing w:line="480" w:lineRule="auto"/>
        <w:ind w:firstLine="360"/>
        <w:rPr>
          <w:lang w:eastAsia="zh-CN"/>
        </w:rPr>
      </w:pPr>
      <w:r w:rsidRPr="00983855">
        <w:rPr>
          <w:rFonts w:hint="eastAsia"/>
          <w:lang w:eastAsia="zh-CN"/>
        </w:rPr>
        <w:t xml:space="preserve">According to the </w:t>
      </w:r>
      <w:r w:rsidR="0071791A" w:rsidRPr="00983855">
        <w:rPr>
          <w:rFonts w:hint="eastAsia"/>
          <w:lang w:eastAsia="zh-CN"/>
        </w:rPr>
        <w:t xml:space="preserve">2015 </w:t>
      </w:r>
      <w:r w:rsidRPr="00983855">
        <w:rPr>
          <w:rFonts w:hint="eastAsia"/>
          <w:lang w:eastAsia="zh-CN"/>
        </w:rPr>
        <w:t xml:space="preserve">China </w:t>
      </w:r>
      <w:r w:rsidR="0071791A" w:rsidRPr="00983855">
        <w:rPr>
          <w:rFonts w:hint="eastAsia"/>
          <w:lang w:eastAsia="zh-CN"/>
        </w:rPr>
        <w:t xml:space="preserve">Rural Statistical Yearbook </w:t>
      </w:r>
      <w:r w:rsidR="00DC1543">
        <w:rPr>
          <w:rFonts w:hint="eastAsia"/>
          <w:lang w:eastAsia="zh-CN"/>
        </w:rPr>
        <w:t>[10]</w:t>
      </w:r>
      <w:r w:rsidR="0071791A" w:rsidRPr="00983855">
        <w:rPr>
          <w:rFonts w:hint="eastAsia"/>
          <w:lang w:eastAsia="zh-CN"/>
        </w:rPr>
        <w:t xml:space="preserve">, </w:t>
      </w:r>
      <w:r w:rsidR="0095066D" w:rsidRPr="00983855">
        <w:rPr>
          <w:rFonts w:hint="eastAsia"/>
          <w:lang w:eastAsia="zh-CN"/>
        </w:rPr>
        <w:t>t</w:t>
      </w:r>
      <w:r w:rsidR="005651C6" w:rsidRPr="00983855">
        <w:rPr>
          <w:rFonts w:hint="eastAsia"/>
          <w:lang w:eastAsia="zh-CN"/>
        </w:rPr>
        <w:t xml:space="preserve">he </w:t>
      </w:r>
      <w:r w:rsidR="00916050" w:rsidRPr="00983855">
        <w:rPr>
          <w:lang w:eastAsia="zh-CN"/>
        </w:rPr>
        <w:t>annual</w:t>
      </w:r>
      <w:r w:rsidR="0023312E" w:rsidRPr="00983855">
        <w:rPr>
          <w:rFonts w:hint="eastAsia"/>
          <w:lang w:eastAsia="zh-CN"/>
        </w:rPr>
        <w:t xml:space="preserve"> </w:t>
      </w:r>
      <w:r w:rsidR="005651C6" w:rsidRPr="00983855">
        <w:rPr>
          <w:rFonts w:hint="eastAsia"/>
          <w:lang w:eastAsia="zh-CN"/>
        </w:rPr>
        <w:t xml:space="preserve">income </w:t>
      </w:r>
      <w:r w:rsidR="00EC4BAA" w:rsidRPr="00983855">
        <w:rPr>
          <w:rFonts w:hint="eastAsia"/>
          <w:lang w:eastAsia="zh-CN"/>
        </w:rPr>
        <w:t>in agriculture</w:t>
      </w:r>
      <w:r w:rsidR="005651C6" w:rsidRPr="00983855">
        <w:rPr>
          <w:rFonts w:hint="eastAsia"/>
          <w:lang w:eastAsia="zh-CN"/>
        </w:rPr>
        <w:t xml:space="preserve"> per rural resident</w:t>
      </w:r>
      <w:r w:rsidR="00916050" w:rsidRPr="00983855">
        <w:rPr>
          <w:lang w:eastAsia="zh-CN"/>
        </w:rPr>
        <w:t xml:space="preserve"> </w:t>
      </w:r>
      <w:r w:rsidR="005651C6" w:rsidRPr="00983855">
        <w:rPr>
          <w:rFonts w:hint="eastAsia"/>
          <w:lang w:eastAsia="zh-CN"/>
        </w:rPr>
        <w:t>was about $</w:t>
      </w:r>
      <w:r w:rsidR="00690496" w:rsidRPr="00983855">
        <w:rPr>
          <w:rFonts w:hint="eastAsia"/>
          <w:lang w:eastAsia="zh-CN"/>
        </w:rPr>
        <w:t>800</w:t>
      </w:r>
      <w:r w:rsidR="000F50B1" w:rsidRPr="00983855">
        <w:rPr>
          <w:rFonts w:hint="eastAsia"/>
          <w:lang w:eastAsia="zh-CN"/>
        </w:rPr>
        <w:t xml:space="preserve"> in 2013 after the purchasing power parity (PPP) adjustment ($</w:t>
      </w:r>
      <w:r w:rsidR="00690496" w:rsidRPr="00983855">
        <w:rPr>
          <w:rFonts w:hint="eastAsia"/>
          <w:lang w:eastAsia="zh-CN"/>
        </w:rPr>
        <w:t>458</w:t>
      </w:r>
      <w:r w:rsidR="000F50B1" w:rsidRPr="00983855">
        <w:rPr>
          <w:rFonts w:hint="eastAsia"/>
          <w:lang w:eastAsia="zh-CN"/>
        </w:rPr>
        <w:t xml:space="preserve"> in nominal). </w:t>
      </w:r>
      <w:r w:rsidR="00690496" w:rsidRPr="00983855">
        <w:rPr>
          <w:rFonts w:hint="eastAsia"/>
          <w:lang w:eastAsia="zh-CN"/>
        </w:rPr>
        <w:t>Jilin</w:t>
      </w:r>
      <w:r w:rsidR="000F50B1" w:rsidRPr="00983855">
        <w:rPr>
          <w:rFonts w:hint="eastAsia"/>
          <w:lang w:eastAsia="zh-CN"/>
        </w:rPr>
        <w:t xml:space="preserve"> </w:t>
      </w:r>
      <w:r w:rsidR="000F50B1" w:rsidRPr="00983855">
        <w:t xml:space="preserve">had the </w:t>
      </w:r>
      <w:r w:rsidR="00FA0B0E" w:rsidRPr="00983855">
        <w:t xml:space="preserve">highest </w:t>
      </w:r>
      <w:r w:rsidR="00EC4BAA" w:rsidRPr="00983855">
        <w:rPr>
          <w:rFonts w:hint="eastAsia"/>
          <w:lang w:eastAsia="zh-CN"/>
        </w:rPr>
        <w:t>annual</w:t>
      </w:r>
      <w:r w:rsidR="000F50B1" w:rsidRPr="00983855">
        <w:rPr>
          <w:rFonts w:hint="eastAsia"/>
          <w:lang w:eastAsia="zh-CN"/>
        </w:rPr>
        <w:t xml:space="preserve"> </w:t>
      </w:r>
      <w:r w:rsidR="000C1924" w:rsidRPr="00983855">
        <w:rPr>
          <w:rFonts w:hint="eastAsia"/>
          <w:lang w:eastAsia="zh-CN"/>
        </w:rPr>
        <w:t xml:space="preserve">income </w:t>
      </w:r>
      <w:r w:rsidR="00EC4BAA" w:rsidRPr="00983855">
        <w:rPr>
          <w:rFonts w:hint="eastAsia"/>
          <w:lang w:eastAsia="zh-CN"/>
        </w:rPr>
        <w:t>in agriculture</w:t>
      </w:r>
      <w:r w:rsidR="000C1924" w:rsidRPr="00983855">
        <w:rPr>
          <w:rFonts w:hint="eastAsia"/>
          <w:lang w:eastAsia="zh-CN"/>
        </w:rPr>
        <w:t xml:space="preserve"> </w:t>
      </w:r>
      <w:r w:rsidR="00F20D81" w:rsidRPr="00983855">
        <w:t>($</w:t>
      </w:r>
      <w:r w:rsidR="006C17E3" w:rsidRPr="00983855">
        <w:rPr>
          <w:rFonts w:hint="eastAsia"/>
          <w:lang w:eastAsia="zh-CN"/>
        </w:rPr>
        <w:t>1,442</w:t>
      </w:r>
      <w:r w:rsidR="000F50B1" w:rsidRPr="00983855">
        <w:t xml:space="preserve"> in PPP; $</w:t>
      </w:r>
      <w:r w:rsidR="006C17E3" w:rsidRPr="00983855">
        <w:rPr>
          <w:rFonts w:hint="eastAsia"/>
          <w:lang w:eastAsia="zh-CN"/>
        </w:rPr>
        <w:t>825</w:t>
      </w:r>
      <w:r w:rsidR="000F50B1" w:rsidRPr="00983855">
        <w:t xml:space="preserve"> in nominal), while </w:t>
      </w:r>
      <w:r w:rsidR="00DF1D98" w:rsidRPr="00983855">
        <w:rPr>
          <w:rFonts w:hint="eastAsia"/>
          <w:lang w:eastAsia="zh-CN"/>
        </w:rPr>
        <w:t>Shanghai</w:t>
      </w:r>
      <w:r w:rsidR="000F50B1" w:rsidRPr="00983855">
        <w:t xml:space="preserve"> had the lowest estimate ($</w:t>
      </w:r>
      <w:r w:rsidR="006C17E3" w:rsidRPr="00983855">
        <w:rPr>
          <w:rFonts w:hint="eastAsia"/>
          <w:lang w:eastAsia="zh-CN"/>
        </w:rPr>
        <w:t>260</w:t>
      </w:r>
      <w:r w:rsidR="00690496" w:rsidRPr="00983855">
        <w:t xml:space="preserve"> </w:t>
      </w:r>
      <w:r w:rsidR="00F20D81" w:rsidRPr="00983855">
        <w:t>in PPP; $</w:t>
      </w:r>
      <w:r w:rsidR="006C17E3" w:rsidRPr="00983855">
        <w:rPr>
          <w:rFonts w:hint="eastAsia"/>
          <w:lang w:eastAsia="zh-CN"/>
        </w:rPr>
        <w:t>149</w:t>
      </w:r>
      <w:r w:rsidR="000F50B1" w:rsidRPr="00983855">
        <w:t xml:space="preserve"> in nominal). </w:t>
      </w:r>
      <w:r w:rsidR="00D300EF" w:rsidRPr="00983855">
        <w:rPr>
          <w:rFonts w:hint="eastAsia"/>
          <w:lang w:eastAsia="zh-CN"/>
        </w:rPr>
        <w:t xml:space="preserve">To calculate the </w:t>
      </w:r>
      <w:r w:rsidR="0023312E" w:rsidRPr="00983855">
        <w:rPr>
          <w:rFonts w:hint="eastAsia"/>
          <w:lang w:eastAsia="zh-CN"/>
        </w:rPr>
        <w:t xml:space="preserve">hourly </w:t>
      </w:r>
      <w:r w:rsidR="00D300EF" w:rsidRPr="00983855">
        <w:rPr>
          <w:rFonts w:hint="eastAsia"/>
          <w:lang w:eastAsia="zh-CN"/>
        </w:rPr>
        <w:t>inco</w:t>
      </w:r>
      <w:r w:rsidR="0023312E" w:rsidRPr="00983855">
        <w:rPr>
          <w:rFonts w:hint="eastAsia"/>
          <w:lang w:eastAsia="zh-CN"/>
        </w:rPr>
        <w:t xml:space="preserve">me </w:t>
      </w:r>
      <w:r w:rsidR="004D2CBC" w:rsidRPr="00983855">
        <w:rPr>
          <w:rFonts w:hint="eastAsia"/>
          <w:lang w:eastAsia="zh-CN"/>
        </w:rPr>
        <w:t>in</w:t>
      </w:r>
      <w:r w:rsidR="00D300EF" w:rsidRPr="00983855">
        <w:rPr>
          <w:rFonts w:hint="eastAsia"/>
          <w:lang w:eastAsia="zh-CN"/>
        </w:rPr>
        <w:t xml:space="preserve"> agriculture, the </w:t>
      </w:r>
      <w:r w:rsidR="00EC4BAA" w:rsidRPr="00983855">
        <w:rPr>
          <w:rFonts w:hint="eastAsia"/>
          <w:lang w:eastAsia="zh-CN"/>
        </w:rPr>
        <w:t>annual</w:t>
      </w:r>
      <w:r w:rsidR="00D300EF" w:rsidRPr="00983855">
        <w:rPr>
          <w:rFonts w:hint="eastAsia"/>
          <w:lang w:eastAsia="zh-CN"/>
        </w:rPr>
        <w:t xml:space="preserve"> income </w:t>
      </w:r>
      <w:r w:rsidR="0023312E" w:rsidRPr="00983855">
        <w:rPr>
          <w:rFonts w:hint="eastAsia"/>
          <w:lang w:eastAsia="zh-CN"/>
        </w:rPr>
        <w:t xml:space="preserve">in agriculture </w:t>
      </w:r>
      <w:r w:rsidR="00D300EF" w:rsidRPr="00983855">
        <w:rPr>
          <w:rFonts w:hint="eastAsia"/>
          <w:lang w:eastAsia="zh-CN"/>
        </w:rPr>
        <w:t>per rural r</w:t>
      </w:r>
      <w:r w:rsidR="00D20281" w:rsidRPr="00983855">
        <w:rPr>
          <w:rFonts w:hint="eastAsia"/>
          <w:lang w:eastAsia="zh-CN"/>
        </w:rPr>
        <w:t xml:space="preserve">esident </w:t>
      </w:r>
      <w:r w:rsidR="00D300EF" w:rsidRPr="00983855">
        <w:rPr>
          <w:rFonts w:hint="eastAsia"/>
          <w:lang w:eastAsia="zh-CN"/>
        </w:rPr>
        <w:t xml:space="preserve">was divided by the average </w:t>
      </w:r>
      <w:r w:rsidR="00D300EF" w:rsidRPr="00983855">
        <w:rPr>
          <w:rFonts w:hint="eastAsia"/>
          <w:lang w:eastAsia="zh-CN"/>
        </w:rPr>
        <w:lastRenderedPageBreak/>
        <w:t xml:space="preserve">number of hours worked in agriculture among the control group (556 hours per year). </w:t>
      </w:r>
      <w:r w:rsidR="00850AA8" w:rsidRPr="00983855">
        <w:rPr>
          <w:lang w:eastAsia="zh-CN"/>
        </w:rPr>
        <w:t>To estimate t</w:t>
      </w:r>
      <w:r w:rsidR="002F0783" w:rsidRPr="00983855">
        <w:rPr>
          <w:rFonts w:hint="eastAsia"/>
          <w:lang w:eastAsia="zh-CN"/>
        </w:rPr>
        <w:t>he additional income from the agricultural production due to the NCMS</w:t>
      </w:r>
      <w:r w:rsidR="00850AA8" w:rsidRPr="00983855">
        <w:rPr>
          <w:lang w:eastAsia="zh-CN"/>
        </w:rPr>
        <w:t xml:space="preserve">, we multiplied </w:t>
      </w:r>
      <w:r w:rsidR="002F0783" w:rsidRPr="00983855">
        <w:rPr>
          <w:rFonts w:hint="eastAsia"/>
          <w:lang w:eastAsia="zh-CN"/>
        </w:rPr>
        <w:t>the increase in hours worked in agriculture</w:t>
      </w:r>
      <w:r w:rsidR="00850AA8" w:rsidRPr="00983855">
        <w:rPr>
          <w:lang w:eastAsia="zh-CN"/>
        </w:rPr>
        <w:t xml:space="preserve"> </w:t>
      </w:r>
      <w:r w:rsidRPr="00983855">
        <w:rPr>
          <w:rFonts w:hint="eastAsia"/>
          <w:lang w:eastAsia="zh-CN"/>
        </w:rPr>
        <w:t>by the hourly income in</w:t>
      </w:r>
      <w:r w:rsidR="00A90AFA" w:rsidRPr="00983855">
        <w:rPr>
          <w:rFonts w:hint="eastAsia"/>
          <w:lang w:eastAsia="zh-CN"/>
        </w:rPr>
        <w:t xml:space="preserve"> agriculture.</w:t>
      </w:r>
    </w:p>
    <w:p w14:paraId="7FD82EA6" w14:textId="5A1B92E6" w:rsidR="0023312E" w:rsidRPr="00983855" w:rsidRDefault="0095066D" w:rsidP="00A90AFA">
      <w:pPr>
        <w:spacing w:line="480" w:lineRule="auto"/>
        <w:ind w:firstLine="360"/>
        <w:rPr>
          <w:lang w:eastAsia="zh-CN"/>
        </w:rPr>
      </w:pPr>
      <w:r w:rsidRPr="00983855">
        <w:rPr>
          <w:rFonts w:hint="eastAsia"/>
          <w:lang w:eastAsia="zh-CN"/>
        </w:rPr>
        <w:t xml:space="preserve">According to the 2015 China Rural </w:t>
      </w:r>
      <w:r w:rsidR="002A6959">
        <w:rPr>
          <w:rFonts w:hint="eastAsia"/>
          <w:lang w:eastAsia="zh-CN"/>
        </w:rPr>
        <w:t xml:space="preserve">Statistical Yearbook </w:t>
      </w:r>
      <w:r w:rsidR="00DC1543">
        <w:rPr>
          <w:rFonts w:hint="eastAsia"/>
          <w:lang w:eastAsia="zh-CN"/>
        </w:rPr>
        <w:t>[10]</w:t>
      </w:r>
      <w:r w:rsidRPr="00983855">
        <w:rPr>
          <w:rFonts w:hint="eastAsia"/>
          <w:lang w:eastAsia="zh-CN"/>
        </w:rPr>
        <w:t>, t</w:t>
      </w:r>
      <w:r w:rsidR="00F321B8" w:rsidRPr="00983855">
        <w:rPr>
          <w:rFonts w:hint="eastAsia"/>
          <w:lang w:eastAsia="zh-CN"/>
        </w:rPr>
        <w:t xml:space="preserve">he </w:t>
      </w:r>
      <w:r w:rsidR="00850AA8" w:rsidRPr="00983855">
        <w:rPr>
          <w:lang w:eastAsia="zh-CN"/>
        </w:rPr>
        <w:t>annual</w:t>
      </w:r>
      <w:r w:rsidR="0023312E" w:rsidRPr="00983855">
        <w:rPr>
          <w:rFonts w:hint="eastAsia"/>
          <w:lang w:eastAsia="zh-CN"/>
        </w:rPr>
        <w:t xml:space="preserve"> </w:t>
      </w:r>
      <w:r w:rsidR="00575D36" w:rsidRPr="00983855">
        <w:rPr>
          <w:rFonts w:hint="eastAsia"/>
          <w:lang w:eastAsia="zh-CN"/>
        </w:rPr>
        <w:t xml:space="preserve">wage </w:t>
      </w:r>
      <w:r w:rsidR="005651C6" w:rsidRPr="00983855">
        <w:rPr>
          <w:rFonts w:hint="eastAsia"/>
          <w:lang w:eastAsia="zh-CN"/>
        </w:rPr>
        <w:t xml:space="preserve">per rural resident </w:t>
      </w:r>
      <w:r w:rsidR="00F321B8" w:rsidRPr="00983855">
        <w:rPr>
          <w:rFonts w:hint="eastAsia"/>
          <w:lang w:eastAsia="zh-CN"/>
        </w:rPr>
        <w:t>was about $1,029</w:t>
      </w:r>
      <w:r w:rsidR="00CF316C" w:rsidRPr="00983855">
        <w:rPr>
          <w:rFonts w:hint="eastAsia"/>
          <w:lang w:eastAsia="zh-CN"/>
        </w:rPr>
        <w:t xml:space="preserve"> </w:t>
      </w:r>
      <w:r w:rsidR="00575D36" w:rsidRPr="00983855">
        <w:rPr>
          <w:rFonts w:hint="eastAsia"/>
          <w:lang w:eastAsia="zh-CN"/>
        </w:rPr>
        <w:t xml:space="preserve">in 2013 </w:t>
      </w:r>
      <w:r w:rsidR="00543FE1" w:rsidRPr="00983855">
        <w:rPr>
          <w:rFonts w:hint="eastAsia"/>
          <w:lang w:eastAsia="zh-CN"/>
        </w:rPr>
        <w:t xml:space="preserve">after </w:t>
      </w:r>
      <w:r w:rsidR="00620469" w:rsidRPr="00983855">
        <w:rPr>
          <w:rFonts w:hint="eastAsia"/>
          <w:lang w:eastAsia="zh-CN"/>
        </w:rPr>
        <w:t xml:space="preserve">the </w:t>
      </w:r>
      <w:r w:rsidR="000C1924" w:rsidRPr="00983855">
        <w:rPr>
          <w:rFonts w:hint="eastAsia"/>
          <w:lang w:eastAsia="zh-CN"/>
        </w:rPr>
        <w:t>PPP</w:t>
      </w:r>
      <w:r w:rsidR="00543FE1" w:rsidRPr="00983855">
        <w:rPr>
          <w:rFonts w:hint="eastAsia"/>
          <w:lang w:eastAsia="zh-CN"/>
        </w:rPr>
        <w:t xml:space="preserve"> adjustment</w:t>
      </w:r>
      <w:r w:rsidR="00CF316C" w:rsidRPr="00983855">
        <w:rPr>
          <w:rFonts w:hint="eastAsia"/>
          <w:lang w:eastAsia="zh-CN"/>
        </w:rPr>
        <w:t xml:space="preserve"> ($589 in nominal)</w:t>
      </w:r>
      <w:r w:rsidR="00575D36" w:rsidRPr="00983855">
        <w:rPr>
          <w:rFonts w:hint="eastAsia"/>
          <w:lang w:eastAsia="zh-CN"/>
        </w:rPr>
        <w:t xml:space="preserve">. </w:t>
      </w:r>
      <w:r w:rsidR="004C449F" w:rsidRPr="00983855">
        <w:rPr>
          <w:lang w:eastAsia="zh-CN"/>
        </w:rPr>
        <w:t xml:space="preserve">The </w:t>
      </w:r>
      <w:r w:rsidR="00EC4BAA" w:rsidRPr="00983855">
        <w:rPr>
          <w:rFonts w:hint="eastAsia"/>
          <w:lang w:eastAsia="zh-CN"/>
        </w:rPr>
        <w:t>annual</w:t>
      </w:r>
      <w:r w:rsidR="00575D36" w:rsidRPr="00983855">
        <w:rPr>
          <w:rFonts w:hint="eastAsia"/>
          <w:lang w:eastAsia="zh-CN"/>
        </w:rPr>
        <w:t xml:space="preserve"> wage</w:t>
      </w:r>
      <w:r w:rsidR="004C449F" w:rsidRPr="00983855">
        <w:rPr>
          <w:lang w:eastAsia="zh-CN"/>
        </w:rPr>
        <w:t xml:space="preserve"> per rural resident was the highest in Shanghai</w:t>
      </w:r>
      <w:r w:rsidR="00575D36" w:rsidRPr="00983855">
        <w:rPr>
          <w:rFonts w:hint="eastAsia"/>
          <w:lang w:eastAsia="zh-CN"/>
        </w:rPr>
        <w:t xml:space="preserve"> </w:t>
      </w:r>
      <w:r w:rsidR="00575D36" w:rsidRPr="00983855">
        <w:t>($4</w:t>
      </w:r>
      <w:r w:rsidR="00CF316C" w:rsidRPr="00983855">
        <w:rPr>
          <w:rFonts w:hint="eastAsia"/>
          <w:lang w:eastAsia="zh-CN"/>
        </w:rPr>
        <w:t>,</w:t>
      </w:r>
      <w:r w:rsidR="00575D36" w:rsidRPr="00983855">
        <w:t>198</w:t>
      </w:r>
      <w:r w:rsidR="00CF316C" w:rsidRPr="00983855">
        <w:t xml:space="preserve"> in PPP; </w:t>
      </w:r>
      <w:r w:rsidR="00575D36" w:rsidRPr="00983855">
        <w:t>$</w:t>
      </w:r>
      <w:r w:rsidR="00CF316C" w:rsidRPr="00983855">
        <w:rPr>
          <w:rFonts w:hint="eastAsia"/>
          <w:lang w:eastAsia="zh-CN"/>
        </w:rPr>
        <w:t>2,404</w:t>
      </w:r>
      <w:r w:rsidR="00CF316C" w:rsidRPr="00983855">
        <w:t xml:space="preserve"> </w:t>
      </w:r>
      <w:r w:rsidR="00575D36" w:rsidRPr="00983855">
        <w:t>in nominal)</w:t>
      </w:r>
      <w:r w:rsidR="004C449F" w:rsidRPr="00983855">
        <w:t xml:space="preserve"> and lowest in Xinjiang </w:t>
      </w:r>
      <w:r w:rsidR="00575D36" w:rsidRPr="00983855">
        <w:t>($</w:t>
      </w:r>
      <w:r w:rsidR="00575D36" w:rsidRPr="00983855">
        <w:rPr>
          <w:rFonts w:hint="eastAsia"/>
          <w:lang w:eastAsia="zh-CN"/>
        </w:rPr>
        <w:t>350</w:t>
      </w:r>
      <w:r w:rsidR="00CF316C" w:rsidRPr="00983855">
        <w:t xml:space="preserve"> in PPP; $200</w:t>
      </w:r>
      <w:r w:rsidR="00575D36" w:rsidRPr="00983855">
        <w:t xml:space="preserve"> in nominal). </w:t>
      </w:r>
    </w:p>
    <w:p w14:paraId="78C859EA" w14:textId="13A980D4" w:rsidR="00F41102" w:rsidRDefault="0095066D" w:rsidP="007631E7">
      <w:pPr>
        <w:spacing w:line="480" w:lineRule="auto"/>
        <w:ind w:firstLine="360"/>
        <w:rPr>
          <w:rFonts w:hint="eastAsia"/>
          <w:lang w:eastAsia="zh-CN"/>
        </w:rPr>
      </w:pPr>
      <w:r w:rsidRPr="00983855">
        <w:rPr>
          <w:rFonts w:hint="eastAsia"/>
          <w:lang w:eastAsia="zh-CN"/>
        </w:rPr>
        <w:t>In the model, w</w:t>
      </w:r>
      <w:r w:rsidR="00986837" w:rsidRPr="00983855">
        <w:rPr>
          <w:rFonts w:hint="eastAsia"/>
          <w:lang w:eastAsia="zh-CN"/>
        </w:rPr>
        <w:t xml:space="preserve">e entered the </w:t>
      </w:r>
      <w:r w:rsidR="001409C0" w:rsidRPr="00983855">
        <w:rPr>
          <w:lang w:eastAsia="zh-CN"/>
        </w:rPr>
        <w:t xml:space="preserve">following </w:t>
      </w:r>
      <w:r w:rsidR="00986837" w:rsidRPr="00983855">
        <w:rPr>
          <w:rFonts w:hint="eastAsia"/>
          <w:lang w:eastAsia="zh-CN"/>
        </w:rPr>
        <w:t>variables</w:t>
      </w:r>
      <w:r w:rsidR="001409C0" w:rsidRPr="00983855">
        <w:rPr>
          <w:lang w:eastAsia="zh-CN"/>
        </w:rPr>
        <w:t>:</w:t>
      </w:r>
      <w:r w:rsidR="00986837" w:rsidRPr="00983855">
        <w:rPr>
          <w:rFonts w:hint="eastAsia"/>
          <w:lang w:eastAsia="zh-CN"/>
        </w:rPr>
        <w:t xml:space="preserve"> the increase in hours worked in agriculture, the hourly income in agriculture, </w:t>
      </w:r>
      <w:r w:rsidRPr="00983855">
        <w:rPr>
          <w:rFonts w:hint="eastAsia"/>
          <w:lang w:eastAsia="zh-CN"/>
        </w:rPr>
        <w:t>the probability of off-farm labor par</w:t>
      </w:r>
      <w:r w:rsidR="00986837" w:rsidRPr="00983855">
        <w:rPr>
          <w:rFonts w:hint="eastAsia"/>
          <w:lang w:eastAsia="zh-CN"/>
        </w:rPr>
        <w:t>ticipation in the control group, the increase in the</w:t>
      </w:r>
      <w:r w:rsidR="001409C0" w:rsidRPr="00983855">
        <w:rPr>
          <w:lang w:eastAsia="zh-CN"/>
        </w:rPr>
        <w:t xml:space="preserve"> likelihood</w:t>
      </w:r>
      <w:r w:rsidR="00986837" w:rsidRPr="00983855">
        <w:rPr>
          <w:rFonts w:hint="eastAsia"/>
          <w:lang w:eastAsia="zh-CN"/>
        </w:rPr>
        <w:t xml:space="preserve"> of off-farm participation due to the NCMS, and the annual wage per rural resident.</w:t>
      </w:r>
      <w:r w:rsidR="004165B2" w:rsidRPr="00983855">
        <w:rPr>
          <w:lang w:eastAsia="zh-CN"/>
        </w:rPr>
        <w:t xml:space="preserve"> We reported the baseline, the low and high values in Table 1 of the manuscript. </w:t>
      </w:r>
    </w:p>
    <w:p w14:paraId="68BFFA96" w14:textId="77777777" w:rsidR="007631E7" w:rsidRPr="00983855" w:rsidRDefault="007631E7" w:rsidP="007631E7">
      <w:pPr>
        <w:spacing w:line="480" w:lineRule="auto"/>
        <w:ind w:firstLine="360"/>
        <w:rPr>
          <w:rFonts w:hint="eastAsia"/>
          <w:lang w:eastAsia="zh-CN"/>
        </w:rPr>
      </w:pPr>
    </w:p>
    <w:p w14:paraId="4643F263" w14:textId="37B68B0B" w:rsidR="00F41102" w:rsidRDefault="008541F3" w:rsidP="00F41102">
      <w:pPr>
        <w:pStyle w:val="Heading1"/>
        <w:spacing w:line="480" w:lineRule="auto"/>
        <w:rPr>
          <w:rFonts w:ascii="Cambria" w:eastAsia="Cambria" w:hAnsi="Cambria" w:cs="Cambria"/>
          <w:b/>
          <w:sz w:val="24"/>
          <w:szCs w:val="24"/>
          <w:lang w:eastAsia="zh-CN"/>
        </w:rPr>
      </w:pPr>
      <w:bookmarkStart w:id="7" w:name="_Toc515773210"/>
      <w:r w:rsidRPr="00983855">
        <w:rPr>
          <w:rFonts w:ascii="Cambria" w:eastAsia="Cambria" w:hAnsi="Cambria" w:cs="Cambria" w:hint="eastAsia"/>
          <w:b/>
          <w:sz w:val="24"/>
          <w:szCs w:val="24"/>
          <w:lang w:eastAsia="zh-CN"/>
        </w:rPr>
        <w:lastRenderedPageBreak/>
        <w:t>6</w:t>
      </w:r>
      <w:r w:rsidR="000C6D32" w:rsidRPr="00983855">
        <w:rPr>
          <w:rFonts w:ascii="Cambria" w:eastAsia="Cambria" w:hAnsi="Cambria" w:cs="Cambria"/>
          <w:b/>
          <w:sz w:val="24"/>
          <w:szCs w:val="24"/>
        </w:rPr>
        <w:t xml:space="preserve">. </w:t>
      </w:r>
      <w:r w:rsidR="00D92F32" w:rsidRPr="00983855">
        <w:rPr>
          <w:rFonts w:ascii="Cambria" w:eastAsia="Cambria" w:hAnsi="Cambria" w:cs="Cambria"/>
          <w:b/>
          <w:sz w:val="24"/>
          <w:szCs w:val="24"/>
        </w:rPr>
        <w:t xml:space="preserve">Supporting information on </w:t>
      </w:r>
      <w:r w:rsidR="00DB27CE" w:rsidRPr="00983855">
        <w:rPr>
          <w:rFonts w:ascii="Cambria" w:eastAsia="Cambria" w:hAnsi="Cambria" w:cs="Cambria"/>
          <w:b/>
          <w:sz w:val="24"/>
          <w:szCs w:val="24"/>
        </w:rPr>
        <w:t>the cost-effectiveness analysis</w:t>
      </w:r>
      <w:bookmarkEnd w:id="7"/>
      <w:r w:rsidR="006F565D" w:rsidRPr="00983855">
        <w:rPr>
          <w:rFonts w:ascii="Cambria" w:eastAsia="Cambria" w:hAnsi="Cambria" w:cs="Cambria" w:hint="eastAsia"/>
          <w:b/>
          <w:sz w:val="24"/>
          <w:szCs w:val="24"/>
          <w:lang w:eastAsia="zh-CN"/>
        </w:rPr>
        <w:t xml:space="preserve"> </w:t>
      </w:r>
    </w:p>
    <w:p w14:paraId="1435E452" w14:textId="6C852D90" w:rsidR="00F41102" w:rsidRPr="00F41102" w:rsidRDefault="00F41102" w:rsidP="00F41102">
      <w:pPr>
        <w:pStyle w:val="Heading2"/>
        <w:spacing w:line="480" w:lineRule="auto"/>
        <w:rPr>
          <w:rFonts w:ascii="Cambria" w:eastAsia="Cambria" w:hAnsi="Cambria" w:cs="Cambria"/>
          <w:color w:val="335B8A"/>
          <w:sz w:val="24"/>
          <w:szCs w:val="24"/>
          <w:lang w:eastAsia="zh-CN"/>
        </w:rPr>
      </w:pPr>
      <w:bookmarkStart w:id="8" w:name="_Toc515773211"/>
      <w:r w:rsidRPr="00983855">
        <w:rPr>
          <w:rFonts w:ascii="Cambria" w:eastAsia="Cambria" w:hAnsi="Cambria" w:cs="Cambria" w:hint="eastAsia"/>
          <w:color w:val="335B8A"/>
          <w:sz w:val="24"/>
          <w:szCs w:val="24"/>
          <w:lang w:eastAsia="zh-CN"/>
        </w:rPr>
        <w:t>6</w:t>
      </w:r>
      <w:r w:rsidRPr="00983855">
        <w:rPr>
          <w:rFonts w:ascii="Cambria" w:eastAsia="Cambria" w:hAnsi="Cambria" w:cs="Cambria"/>
          <w:color w:val="335B8A"/>
          <w:sz w:val="24"/>
          <w:szCs w:val="24"/>
          <w:lang w:eastAsia="zh-CN"/>
        </w:rPr>
        <w:t>.</w:t>
      </w:r>
      <w:r w:rsidRPr="00983855">
        <w:rPr>
          <w:rFonts w:ascii="Cambria" w:eastAsia="Cambria" w:hAnsi="Cambria" w:cs="Cambria" w:hint="eastAsia"/>
          <w:color w:val="335B8A"/>
          <w:sz w:val="24"/>
          <w:szCs w:val="24"/>
          <w:lang w:eastAsia="zh-CN"/>
        </w:rPr>
        <w:t>1</w:t>
      </w:r>
      <w:r>
        <w:rPr>
          <w:rFonts w:ascii="Cambria" w:eastAsia="Cambria" w:hAnsi="Cambria" w:cs="Cambria" w:hint="eastAsia"/>
          <w:color w:val="335B8A"/>
          <w:sz w:val="24"/>
          <w:szCs w:val="24"/>
          <w:lang w:eastAsia="zh-CN"/>
        </w:rPr>
        <w:t xml:space="preserve"> </w:t>
      </w:r>
      <w:r w:rsidRPr="00F41102">
        <w:rPr>
          <w:rFonts w:ascii="Cambria" w:eastAsia="Cambria" w:hAnsi="Cambria" w:cs="Cambria"/>
          <w:color w:val="335B8A"/>
          <w:sz w:val="24"/>
          <w:szCs w:val="24"/>
          <w:lang w:eastAsia="zh-CN"/>
        </w:rPr>
        <w:t xml:space="preserve">Results of </w:t>
      </w:r>
      <w:r w:rsidRPr="00F41102">
        <w:rPr>
          <w:rFonts w:ascii="Cambria" w:eastAsia="Cambria" w:hAnsi="Cambria" w:cs="Cambria" w:hint="eastAsia"/>
          <w:color w:val="335B8A"/>
          <w:sz w:val="24"/>
          <w:szCs w:val="24"/>
          <w:lang w:eastAsia="zh-CN"/>
        </w:rPr>
        <w:t>probabilistic sensitivity analysis</w:t>
      </w:r>
      <w:bookmarkEnd w:id="8"/>
    </w:p>
    <w:p w14:paraId="50B52F94" w14:textId="6CDA1AA3" w:rsidR="00F41102" w:rsidRDefault="00F41102" w:rsidP="00F41102">
      <w:pPr>
        <w:spacing w:line="480" w:lineRule="auto"/>
        <w:ind w:firstLine="720"/>
        <w:rPr>
          <w:lang w:eastAsia="zh-CN"/>
        </w:rPr>
      </w:pPr>
      <w:r>
        <w:rPr>
          <w:rFonts w:hint="eastAsia"/>
        </w:rPr>
        <w:t xml:space="preserve">In the probabilistic sensitivity analysis with Monte Carlo </w:t>
      </w:r>
      <w:r w:rsidR="00490C03">
        <w:rPr>
          <w:rFonts w:hint="eastAsia"/>
        </w:rPr>
        <w:t>simulations (</w:t>
      </w:r>
      <w:r w:rsidRPr="00F41102">
        <w:rPr>
          <w:rFonts w:hint="eastAsia"/>
        </w:rPr>
        <w:t>Table</w:t>
      </w:r>
      <w:r w:rsidR="00490C03">
        <w:rPr>
          <w:rFonts w:hint="eastAsia"/>
          <w:lang w:eastAsia="zh-CN"/>
        </w:rPr>
        <w:t xml:space="preserve"> F</w:t>
      </w:r>
      <w:r w:rsidRPr="00F41102">
        <w:rPr>
          <w:rFonts w:hint="eastAsia"/>
        </w:rPr>
        <w:t xml:space="preserve">), </w:t>
      </w:r>
      <w:r w:rsidRPr="00F41102">
        <w:t xml:space="preserve">the gains for the average participant </w:t>
      </w:r>
      <w:r w:rsidRPr="00F41102">
        <w:rPr>
          <w:rFonts w:hint="eastAsia"/>
        </w:rPr>
        <w:t>we</w:t>
      </w:r>
      <w:r w:rsidRPr="00F41102">
        <w:t>re approximately 0.01 (95%</w:t>
      </w:r>
      <w:r w:rsidRPr="00F41102">
        <w:rPr>
          <w:rFonts w:hint="eastAsia"/>
        </w:rPr>
        <w:t xml:space="preserve"> </w:t>
      </w:r>
      <w:r w:rsidRPr="00F41102">
        <w:t>CI: -0.08, 0.1</w:t>
      </w:r>
      <w:r w:rsidRPr="00F41102">
        <w:rPr>
          <w:rFonts w:hint="eastAsia"/>
        </w:rPr>
        <w:t>0</w:t>
      </w:r>
      <w:r w:rsidRPr="00F41102">
        <w:t>) QALYs, and the additional cost attributable to the NCMS was Int$1,013 per rural resident (95%</w:t>
      </w:r>
      <w:r w:rsidRPr="00F41102">
        <w:rPr>
          <w:rFonts w:hint="eastAsia"/>
        </w:rPr>
        <w:t xml:space="preserve"> </w:t>
      </w:r>
      <w:r w:rsidRPr="00F41102">
        <w:t xml:space="preserve">CI: </w:t>
      </w:r>
      <w:r w:rsidRPr="00F41102">
        <w:rPr>
          <w:rFonts w:hint="eastAsia"/>
        </w:rPr>
        <w:t>-2,773</w:t>
      </w:r>
      <w:r w:rsidRPr="00F41102">
        <w:t>, 5</w:t>
      </w:r>
      <w:r w:rsidRPr="00F41102">
        <w:rPr>
          <w:rFonts w:hint="eastAsia"/>
        </w:rPr>
        <w:t>,</w:t>
      </w:r>
      <w:r w:rsidRPr="00F41102">
        <w:t xml:space="preserve">363), indicating that the </w:t>
      </w:r>
      <w:r w:rsidRPr="00F41102">
        <w:rPr>
          <w:rFonts w:hint="eastAsia"/>
          <w:lang w:eastAsia="zh-CN"/>
        </w:rPr>
        <w:t>ICER was Int$66,698 (</w:t>
      </w:r>
      <w:r w:rsidRPr="00F41102">
        <w:rPr>
          <w:rFonts w:hint="eastAsia"/>
        </w:rPr>
        <w:t xml:space="preserve">95% </w:t>
      </w:r>
      <w:r w:rsidRPr="00F41102">
        <w:rPr>
          <w:rFonts w:hint="eastAsia"/>
          <w:lang w:eastAsia="zh-CN"/>
        </w:rPr>
        <w:t xml:space="preserve">CI: </w:t>
      </w:r>
      <w:r w:rsidRPr="00F41102">
        <w:rPr>
          <w:lang w:eastAsia="zh-CN"/>
        </w:rPr>
        <w:t>c</w:t>
      </w:r>
      <w:r w:rsidRPr="00F41102">
        <w:rPr>
          <w:rFonts w:hint="eastAsia"/>
          <w:lang w:eastAsia="zh-CN"/>
        </w:rPr>
        <w:t>ost-saving</w:t>
      </w:r>
      <w:r w:rsidRPr="00F41102">
        <w:rPr>
          <w:rFonts w:hint="eastAsia"/>
        </w:rPr>
        <w:t>, Int$845,658</w:t>
      </w:r>
      <w:r w:rsidRPr="00F41102">
        <w:rPr>
          <w:rFonts w:hint="eastAsia"/>
          <w:lang w:eastAsia="zh-CN"/>
        </w:rPr>
        <w:t>)</w:t>
      </w:r>
      <w:r w:rsidRPr="00F41102">
        <w:rPr>
          <w:rFonts w:hint="eastAsia"/>
        </w:rPr>
        <w:t xml:space="preserve"> per QALY gained.</w:t>
      </w:r>
    </w:p>
    <w:p w14:paraId="0EEDD8A2" w14:textId="29D69258" w:rsidR="00F41102" w:rsidRPr="0028105C" w:rsidRDefault="00F41102" w:rsidP="00F41102">
      <w:pPr>
        <w:spacing w:line="360" w:lineRule="auto"/>
        <w:rPr>
          <w:b/>
        </w:rPr>
      </w:pPr>
      <w:r>
        <w:rPr>
          <w:b/>
        </w:rPr>
        <w:t>Table</w:t>
      </w:r>
      <w:r w:rsidR="00536D8C">
        <w:rPr>
          <w:rFonts w:hint="eastAsia"/>
          <w:b/>
          <w:lang w:eastAsia="zh-CN"/>
        </w:rPr>
        <w:t xml:space="preserve"> F</w:t>
      </w:r>
      <w:r w:rsidRPr="0028105C">
        <w:rPr>
          <w:b/>
        </w:rPr>
        <w:t xml:space="preserve">. Results of </w:t>
      </w:r>
      <w:r w:rsidRPr="00F41102">
        <w:rPr>
          <w:rFonts w:hint="eastAsia"/>
          <w:b/>
        </w:rPr>
        <w:t>probabilistic sensitivity analysis with</w:t>
      </w:r>
      <w:r>
        <w:rPr>
          <w:rFonts w:hint="eastAsia"/>
        </w:rPr>
        <w:t xml:space="preserve"> </w:t>
      </w:r>
      <w:r w:rsidRPr="0028105C">
        <w:rPr>
          <w:b/>
        </w:rPr>
        <w:t>Monte Carlo simulation</w:t>
      </w:r>
      <w:r>
        <w:rPr>
          <w:rFonts w:hint="eastAsia"/>
          <w:b/>
        </w:rPr>
        <w:t>s</w:t>
      </w:r>
      <w:r w:rsidRPr="0028105C">
        <w:rPr>
          <w:b/>
        </w:rPr>
        <w:t xml:space="preserve"> on </w:t>
      </w:r>
      <w:r>
        <w:rPr>
          <w:rFonts w:hint="eastAsia"/>
          <w:b/>
        </w:rPr>
        <w:t xml:space="preserve">the </w:t>
      </w:r>
      <w:r w:rsidRPr="0028105C">
        <w:rPr>
          <w:b/>
        </w:rPr>
        <w:t xml:space="preserve">NCMS </w:t>
      </w:r>
      <w:r>
        <w:rPr>
          <w:rFonts w:hint="eastAsia"/>
          <w:b/>
        </w:rPr>
        <w:t>versus</w:t>
      </w:r>
      <w:r w:rsidRPr="0028105C">
        <w:rPr>
          <w:b/>
        </w:rPr>
        <w:t xml:space="preserve"> no NCMS (NCMS = New Rural Medical Cooperative System)</w:t>
      </w:r>
    </w:p>
    <w:tbl>
      <w:tblPr>
        <w:tblStyle w:val="a0"/>
        <w:tblW w:w="8142" w:type="dxa"/>
        <w:jc w:val="center"/>
        <w:tblBorders>
          <w:top w:val="single" w:sz="12" w:space="0" w:color="000000"/>
          <w:left w:val="nil"/>
          <w:bottom w:val="single" w:sz="12" w:space="0" w:color="000000"/>
          <w:right w:val="nil"/>
          <w:insideH w:val="nil"/>
          <w:insideV w:val="nil"/>
        </w:tblBorders>
        <w:tblLayout w:type="fixed"/>
        <w:tblLook w:val="0400" w:firstRow="0" w:lastRow="0" w:firstColumn="0" w:lastColumn="0" w:noHBand="0" w:noVBand="1"/>
      </w:tblPr>
      <w:tblGrid>
        <w:gridCol w:w="3822"/>
        <w:gridCol w:w="1620"/>
        <w:gridCol w:w="2700"/>
      </w:tblGrid>
      <w:tr w:rsidR="00F41102" w:rsidRPr="00FA08A8" w14:paraId="487A0D95" w14:textId="77777777" w:rsidTr="00F41102">
        <w:trPr>
          <w:trHeight w:val="320"/>
          <w:jc w:val="center"/>
        </w:trPr>
        <w:tc>
          <w:tcPr>
            <w:tcW w:w="3822" w:type="dxa"/>
            <w:tcBorders>
              <w:top w:val="single" w:sz="12" w:space="0" w:color="000000"/>
              <w:bottom w:val="single" w:sz="8" w:space="0" w:color="000000"/>
            </w:tcBorders>
          </w:tcPr>
          <w:p w14:paraId="559C6EBB" w14:textId="77777777" w:rsidR="00F41102" w:rsidRPr="0028105C" w:rsidRDefault="00F41102" w:rsidP="00F41102">
            <w:pPr>
              <w:spacing w:line="360" w:lineRule="auto"/>
              <w:rPr>
                <w:b/>
              </w:rPr>
            </w:pPr>
          </w:p>
        </w:tc>
        <w:tc>
          <w:tcPr>
            <w:tcW w:w="1620" w:type="dxa"/>
            <w:tcBorders>
              <w:top w:val="single" w:sz="12" w:space="0" w:color="000000"/>
              <w:bottom w:val="single" w:sz="8" w:space="0" w:color="000000"/>
            </w:tcBorders>
          </w:tcPr>
          <w:p w14:paraId="6D50D865" w14:textId="77777777" w:rsidR="00F41102" w:rsidRPr="0028105C" w:rsidRDefault="00F41102" w:rsidP="00F41102">
            <w:pPr>
              <w:spacing w:line="360" w:lineRule="auto"/>
              <w:jc w:val="center"/>
              <w:rPr>
                <w:b/>
                <w:i/>
                <w:color w:val="4F81BD"/>
              </w:rPr>
            </w:pPr>
            <w:r w:rsidRPr="0028105C">
              <w:rPr>
                <w:b/>
              </w:rPr>
              <w:t>Mean</w:t>
            </w:r>
          </w:p>
        </w:tc>
        <w:tc>
          <w:tcPr>
            <w:tcW w:w="2700" w:type="dxa"/>
            <w:tcBorders>
              <w:top w:val="single" w:sz="12" w:space="0" w:color="000000"/>
              <w:bottom w:val="single" w:sz="8" w:space="0" w:color="000000"/>
            </w:tcBorders>
          </w:tcPr>
          <w:p w14:paraId="518A7A13" w14:textId="77777777" w:rsidR="00F41102" w:rsidRPr="0028105C" w:rsidRDefault="00F41102" w:rsidP="00F41102">
            <w:pPr>
              <w:spacing w:line="360" w:lineRule="auto"/>
              <w:jc w:val="center"/>
              <w:rPr>
                <w:b/>
                <w:i/>
                <w:color w:val="4F81BD"/>
              </w:rPr>
            </w:pPr>
            <w:r w:rsidRPr="0028105C">
              <w:rPr>
                <w:b/>
              </w:rPr>
              <w:t xml:space="preserve">95% CI </w:t>
            </w:r>
            <w:r w:rsidRPr="0028105C">
              <w:rPr>
                <w:rFonts w:ascii="Helvetica" w:hAnsi="Helvetica"/>
                <w:b/>
              </w:rPr>
              <w:t>*</w:t>
            </w:r>
          </w:p>
        </w:tc>
      </w:tr>
      <w:tr w:rsidR="00F41102" w:rsidRPr="00FA08A8" w14:paraId="38BDE55B" w14:textId="77777777" w:rsidTr="00F41102">
        <w:trPr>
          <w:trHeight w:val="320"/>
          <w:jc w:val="center"/>
        </w:trPr>
        <w:tc>
          <w:tcPr>
            <w:tcW w:w="3822" w:type="dxa"/>
            <w:tcBorders>
              <w:top w:val="single" w:sz="8" w:space="0" w:color="000000"/>
            </w:tcBorders>
          </w:tcPr>
          <w:p w14:paraId="0D67EF70" w14:textId="77777777" w:rsidR="00F41102" w:rsidRPr="00FA08A8" w:rsidRDefault="00F41102" w:rsidP="00F41102">
            <w:pPr>
              <w:spacing w:line="360" w:lineRule="auto"/>
            </w:pPr>
            <w:r w:rsidRPr="00FA08A8">
              <w:t xml:space="preserve">Incremental cost, Int$ </w:t>
            </w:r>
            <w:r w:rsidRPr="00FA08A8">
              <w:rPr>
                <w:rFonts w:ascii="Helvetica" w:hAnsi="Helvetica"/>
                <w:color w:val="353535"/>
              </w:rPr>
              <w:t>†</w:t>
            </w:r>
          </w:p>
        </w:tc>
        <w:tc>
          <w:tcPr>
            <w:tcW w:w="1620" w:type="dxa"/>
            <w:tcBorders>
              <w:top w:val="single" w:sz="8" w:space="0" w:color="000000"/>
            </w:tcBorders>
          </w:tcPr>
          <w:p w14:paraId="67595B26" w14:textId="77777777" w:rsidR="00F41102" w:rsidRPr="00FA08A8" w:rsidRDefault="00F41102" w:rsidP="00F41102">
            <w:pPr>
              <w:spacing w:line="360" w:lineRule="auto"/>
              <w:jc w:val="right"/>
              <w:rPr>
                <w:i/>
                <w:color w:val="4F81BD"/>
              </w:rPr>
            </w:pPr>
            <w:r>
              <w:rPr>
                <w:rFonts w:hint="eastAsia"/>
              </w:rPr>
              <w:t>1013</w:t>
            </w:r>
          </w:p>
        </w:tc>
        <w:tc>
          <w:tcPr>
            <w:tcW w:w="2700" w:type="dxa"/>
            <w:tcBorders>
              <w:top w:val="single" w:sz="8" w:space="0" w:color="000000"/>
            </w:tcBorders>
          </w:tcPr>
          <w:p w14:paraId="6A0ABB3C" w14:textId="77777777" w:rsidR="00F41102" w:rsidRPr="00FA08A8" w:rsidRDefault="00F41102" w:rsidP="00F41102">
            <w:pPr>
              <w:spacing w:line="360" w:lineRule="auto"/>
              <w:jc w:val="right"/>
              <w:rPr>
                <w:i/>
                <w:color w:val="4F81BD"/>
              </w:rPr>
            </w:pPr>
            <w:r w:rsidRPr="00FA08A8">
              <w:t>(</w:t>
            </w:r>
            <w:r>
              <w:rPr>
                <w:rFonts w:hint="eastAsia"/>
              </w:rPr>
              <w:t>-2773</w:t>
            </w:r>
            <w:r w:rsidRPr="00FA08A8">
              <w:t>,</w:t>
            </w:r>
            <w:r>
              <w:rPr>
                <w:rFonts w:hint="eastAsia"/>
              </w:rPr>
              <w:t xml:space="preserve"> 5363</w:t>
            </w:r>
            <w:r w:rsidRPr="00FA08A8">
              <w:t>)</w:t>
            </w:r>
          </w:p>
        </w:tc>
      </w:tr>
      <w:tr w:rsidR="00F41102" w:rsidRPr="00FA08A8" w14:paraId="59A7FC35" w14:textId="77777777" w:rsidTr="00F41102">
        <w:trPr>
          <w:trHeight w:val="320"/>
          <w:jc w:val="center"/>
        </w:trPr>
        <w:tc>
          <w:tcPr>
            <w:tcW w:w="3822" w:type="dxa"/>
            <w:tcBorders>
              <w:bottom w:val="nil"/>
            </w:tcBorders>
          </w:tcPr>
          <w:p w14:paraId="6814B7DC" w14:textId="77777777" w:rsidR="00F41102" w:rsidRPr="00FA08A8" w:rsidRDefault="00F41102" w:rsidP="00F41102">
            <w:pPr>
              <w:spacing w:line="360" w:lineRule="auto"/>
            </w:pPr>
            <w:r w:rsidRPr="00FA08A8">
              <w:t xml:space="preserve">Incremental effectiveness, QALYs </w:t>
            </w:r>
            <w:r w:rsidRPr="00FA08A8">
              <w:rPr>
                <w:rFonts w:ascii="Helvetica" w:hAnsi="Helvetica"/>
                <w:color w:val="353535"/>
              </w:rPr>
              <w:t>‡</w:t>
            </w:r>
          </w:p>
        </w:tc>
        <w:tc>
          <w:tcPr>
            <w:tcW w:w="1620" w:type="dxa"/>
            <w:tcBorders>
              <w:bottom w:val="nil"/>
            </w:tcBorders>
          </w:tcPr>
          <w:p w14:paraId="7DDE7106" w14:textId="77777777" w:rsidR="00F41102" w:rsidRPr="00FA08A8" w:rsidRDefault="00F41102" w:rsidP="00F41102">
            <w:pPr>
              <w:spacing w:line="360" w:lineRule="auto"/>
              <w:jc w:val="right"/>
              <w:rPr>
                <w:i/>
                <w:color w:val="4F81BD"/>
              </w:rPr>
            </w:pPr>
            <w:r>
              <w:rPr>
                <w:rFonts w:hint="eastAsia"/>
              </w:rPr>
              <w:t>0.01</w:t>
            </w:r>
          </w:p>
        </w:tc>
        <w:tc>
          <w:tcPr>
            <w:tcW w:w="2700" w:type="dxa"/>
            <w:tcBorders>
              <w:bottom w:val="nil"/>
            </w:tcBorders>
          </w:tcPr>
          <w:p w14:paraId="59A2E7EB" w14:textId="77777777" w:rsidR="00F41102" w:rsidRPr="00FA08A8" w:rsidRDefault="00F41102" w:rsidP="00F41102">
            <w:pPr>
              <w:spacing w:line="360" w:lineRule="auto"/>
              <w:jc w:val="right"/>
              <w:rPr>
                <w:i/>
                <w:color w:val="4F81BD"/>
              </w:rPr>
            </w:pPr>
            <w:r w:rsidRPr="00FA08A8">
              <w:t>(</w:t>
            </w:r>
            <w:r>
              <w:rPr>
                <w:rFonts w:hint="eastAsia"/>
              </w:rPr>
              <w:t>-0.08</w:t>
            </w:r>
            <w:r w:rsidRPr="0028105C">
              <w:t>,</w:t>
            </w:r>
            <w:r>
              <w:rPr>
                <w:rFonts w:hint="eastAsia"/>
              </w:rPr>
              <w:t xml:space="preserve"> 0.1</w:t>
            </w:r>
            <w:r w:rsidRPr="00FA08A8">
              <w:t>)</w:t>
            </w:r>
          </w:p>
        </w:tc>
      </w:tr>
      <w:tr w:rsidR="00F41102" w:rsidRPr="00FA08A8" w14:paraId="1AB2F0C9" w14:textId="77777777" w:rsidTr="00F41102">
        <w:trPr>
          <w:trHeight w:val="320"/>
          <w:jc w:val="center"/>
        </w:trPr>
        <w:tc>
          <w:tcPr>
            <w:tcW w:w="3822" w:type="dxa"/>
            <w:tcBorders>
              <w:top w:val="nil"/>
              <w:bottom w:val="single" w:sz="12" w:space="0" w:color="000000"/>
            </w:tcBorders>
          </w:tcPr>
          <w:p w14:paraId="1C83754B" w14:textId="77777777" w:rsidR="00F41102" w:rsidRPr="00FA08A8" w:rsidRDefault="00F41102" w:rsidP="00F41102">
            <w:pPr>
              <w:spacing w:line="360" w:lineRule="auto"/>
            </w:pPr>
            <w:r w:rsidRPr="00FA08A8">
              <w:t>ICER, Int$</w:t>
            </w:r>
            <w:r>
              <w:rPr>
                <w:rFonts w:hint="eastAsia"/>
              </w:rPr>
              <w:t xml:space="preserve"> </w:t>
            </w:r>
            <w:r w:rsidRPr="00FA08A8">
              <w:rPr>
                <w:rFonts w:ascii="Helvetica" w:hAnsi="Helvetica"/>
                <w:color w:val="353535"/>
              </w:rPr>
              <w:t>†</w:t>
            </w:r>
            <w:r w:rsidRPr="00FA08A8">
              <w:t>/QALYs</w:t>
            </w:r>
            <w:r w:rsidRPr="0028105C">
              <w:t xml:space="preserve"> </w:t>
            </w:r>
            <w:r w:rsidRPr="00FA08A8">
              <w:rPr>
                <w:rFonts w:ascii="Helvetica" w:hAnsi="Helvetica"/>
                <w:color w:val="353535"/>
              </w:rPr>
              <w:t>‡</w:t>
            </w:r>
          </w:p>
        </w:tc>
        <w:tc>
          <w:tcPr>
            <w:tcW w:w="1620" w:type="dxa"/>
            <w:tcBorders>
              <w:top w:val="nil"/>
              <w:bottom w:val="single" w:sz="12" w:space="0" w:color="000000"/>
            </w:tcBorders>
          </w:tcPr>
          <w:p w14:paraId="7A377145" w14:textId="77777777" w:rsidR="00F41102" w:rsidRPr="00FA08A8" w:rsidRDefault="00F41102" w:rsidP="00F41102">
            <w:pPr>
              <w:spacing w:line="360" w:lineRule="auto"/>
              <w:jc w:val="right"/>
              <w:rPr>
                <w:i/>
                <w:color w:val="4F81BD"/>
              </w:rPr>
            </w:pPr>
            <w:r>
              <w:rPr>
                <w:rFonts w:hint="eastAsia"/>
              </w:rPr>
              <w:t>66,698</w:t>
            </w:r>
          </w:p>
        </w:tc>
        <w:tc>
          <w:tcPr>
            <w:tcW w:w="2700" w:type="dxa"/>
            <w:tcBorders>
              <w:top w:val="nil"/>
              <w:bottom w:val="single" w:sz="12" w:space="0" w:color="000000"/>
            </w:tcBorders>
          </w:tcPr>
          <w:p w14:paraId="3C0158A8" w14:textId="77777777" w:rsidR="00F41102" w:rsidRPr="00FA08A8" w:rsidRDefault="00F41102" w:rsidP="00F41102">
            <w:pPr>
              <w:spacing w:line="360" w:lineRule="auto"/>
              <w:jc w:val="right"/>
              <w:rPr>
                <w:b/>
                <w:i/>
                <w:color w:val="4F81BD"/>
                <w:sz w:val="20"/>
                <w:szCs w:val="20"/>
              </w:rPr>
            </w:pPr>
            <w:r w:rsidRPr="00FA08A8">
              <w:t>(</w:t>
            </w:r>
            <w:r>
              <w:rPr>
                <w:rFonts w:hint="eastAsia"/>
              </w:rPr>
              <w:t>Cost-saving</w:t>
            </w:r>
            <w:r w:rsidRPr="0028105C">
              <w:t>,</w:t>
            </w:r>
            <w:r>
              <w:rPr>
                <w:rFonts w:hint="eastAsia"/>
              </w:rPr>
              <w:t xml:space="preserve"> 845,658</w:t>
            </w:r>
            <w:r w:rsidRPr="00FA08A8">
              <w:t>)</w:t>
            </w:r>
          </w:p>
        </w:tc>
      </w:tr>
    </w:tbl>
    <w:p w14:paraId="5DCC1AFF" w14:textId="77777777" w:rsidR="00F41102" w:rsidRPr="00FA08A8" w:rsidRDefault="00F41102" w:rsidP="00F41102">
      <w:pPr>
        <w:spacing w:line="276" w:lineRule="auto"/>
      </w:pPr>
      <w:r w:rsidRPr="00FA08A8">
        <w:rPr>
          <w:rFonts w:ascii="Helvetica Neue" w:eastAsia="Helvetica Neue" w:hAnsi="Helvetica Neue" w:cs="Helvetica Neue"/>
          <w:color w:val="353535"/>
        </w:rPr>
        <w:t>*</w:t>
      </w:r>
      <w:r w:rsidRPr="00FA08A8">
        <w:t xml:space="preserve"> </w:t>
      </w:r>
      <w:r>
        <w:t>CI</w:t>
      </w:r>
      <w:r>
        <w:rPr>
          <w:rFonts w:hint="eastAsia"/>
        </w:rPr>
        <w:t xml:space="preserve"> </w:t>
      </w:r>
      <w:r>
        <w:t>=</w:t>
      </w:r>
      <w:r>
        <w:rPr>
          <w:rFonts w:hint="eastAsia"/>
        </w:rPr>
        <w:t xml:space="preserve"> </w:t>
      </w:r>
      <w:r w:rsidRPr="00FA08A8">
        <w:t>confidence interval.</w:t>
      </w:r>
    </w:p>
    <w:p w14:paraId="7A348984" w14:textId="77777777" w:rsidR="00F41102" w:rsidRPr="00FA08A8" w:rsidRDefault="00F41102" w:rsidP="00F41102">
      <w:pPr>
        <w:spacing w:line="276" w:lineRule="auto"/>
        <w:rPr>
          <w:color w:val="353535"/>
        </w:rPr>
      </w:pPr>
      <w:r w:rsidRPr="00FA08A8">
        <w:rPr>
          <w:rFonts w:ascii="Helvetica" w:hAnsi="Helvetica"/>
          <w:color w:val="353535"/>
        </w:rPr>
        <w:t>†</w:t>
      </w:r>
      <w:r w:rsidRPr="00FA08A8">
        <w:rPr>
          <w:color w:val="353535"/>
        </w:rPr>
        <w:t xml:space="preserve"> </w:t>
      </w:r>
      <w:r>
        <w:rPr>
          <w:color w:val="353535"/>
        </w:rPr>
        <w:t>Int$</w:t>
      </w:r>
      <w:r w:rsidRPr="00FA08A8">
        <w:rPr>
          <w:color w:val="353535"/>
        </w:rPr>
        <w:t xml:space="preserve"> </w:t>
      </w:r>
      <w:r>
        <w:rPr>
          <w:rFonts w:hint="eastAsia"/>
          <w:color w:val="353535"/>
        </w:rPr>
        <w:t xml:space="preserve">= </w:t>
      </w:r>
      <w:r w:rsidRPr="00FA08A8">
        <w:rPr>
          <w:color w:val="353535"/>
        </w:rPr>
        <w:t xml:space="preserve">international dollars. </w:t>
      </w:r>
      <w:r w:rsidRPr="00FA08A8">
        <w:t>1 International dollar=3.55 CNY.</w:t>
      </w:r>
    </w:p>
    <w:p w14:paraId="4C8C87D6" w14:textId="77777777" w:rsidR="00F41102" w:rsidRPr="00FA08A8" w:rsidRDefault="00F41102" w:rsidP="00F41102">
      <w:pPr>
        <w:spacing w:line="276" w:lineRule="auto"/>
        <w:rPr>
          <w:color w:val="353535"/>
        </w:rPr>
      </w:pPr>
      <w:r w:rsidRPr="00FA08A8">
        <w:rPr>
          <w:rFonts w:ascii="Helvetica" w:hAnsi="Helvetica"/>
          <w:color w:val="353535"/>
        </w:rPr>
        <w:t xml:space="preserve">‡ </w:t>
      </w:r>
      <w:r w:rsidRPr="0028105C">
        <w:rPr>
          <w:color w:val="353535"/>
        </w:rPr>
        <w:t>QALY</w:t>
      </w:r>
      <w:r>
        <w:rPr>
          <w:rFonts w:hint="eastAsia"/>
          <w:color w:val="353535"/>
        </w:rPr>
        <w:t xml:space="preserve"> </w:t>
      </w:r>
      <w:r w:rsidRPr="00E64D58">
        <w:rPr>
          <w:color w:val="353535"/>
        </w:rPr>
        <w:t>=</w:t>
      </w:r>
      <w:r>
        <w:rPr>
          <w:rFonts w:hint="eastAsia"/>
          <w:color w:val="353535"/>
        </w:rPr>
        <w:t xml:space="preserve"> </w:t>
      </w:r>
      <w:r w:rsidRPr="00FA08A8">
        <w:rPr>
          <w:rFonts w:hint="eastAsia"/>
          <w:color w:val="353535"/>
        </w:rPr>
        <w:t>quality-adjusted life years.</w:t>
      </w:r>
    </w:p>
    <w:p w14:paraId="70D0A243" w14:textId="77777777" w:rsidR="00F41102" w:rsidRPr="00F41102" w:rsidRDefault="00F41102" w:rsidP="00F41102">
      <w:pPr>
        <w:rPr>
          <w:lang w:eastAsia="zh-CN"/>
        </w:rPr>
      </w:pPr>
    </w:p>
    <w:p w14:paraId="6993FDE6" w14:textId="412B4F40" w:rsidR="00170CFB" w:rsidRPr="00983855" w:rsidRDefault="008541F3" w:rsidP="00044DAF">
      <w:pPr>
        <w:pStyle w:val="Heading2"/>
        <w:spacing w:line="480" w:lineRule="auto"/>
        <w:rPr>
          <w:rFonts w:ascii="Cambria" w:eastAsia="Cambria" w:hAnsi="Cambria" w:cs="Cambria"/>
          <w:color w:val="335B8A"/>
          <w:sz w:val="24"/>
          <w:szCs w:val="24"/>
        </w:rPr>
      </w:pPr>
      <w:bookmarkStart w:id="9" w:name="_Toc515773212"/>
      <w:r w:rsidRPr="00983855">
        <w:rPr>
          <w:rFonts w:ascii="Cambria" w:eastAsia="Cambria" w:hAnsi="Cambria" w:cs="Cambria" w:hint="eastAsia"/>
          <w:color w:val="335B8A"/>
          <w:sz w:val="24"/>
          <w:szCs w:val="24"/>
          <w:lang w:eastAsia="zh-CN"/>
        </w:rPr>
        <w:lastRenderedPageBreak/>
        <w:t>6</w:t>
      </w:r>
      <w:r w:rsidR="00983855" w:rsidRPr="00983855">
        <w:rPr>
          <w:rFonts w:ascii="Cambria" w:eastAsia="Cambria" w:hAnsi="Cambria" w:cs="Cambria"/>
          <w:color w:val="335B8A"/>
          <w:sz w:val="24"/>
          <w:szCs w:val="24"/>
        </w:rPr>
        <w:t>.</w:t>
      </w:r>
      <w:r w:rsidR="00177271">
        <w:rPr>
          <w:rFonts w:ascii="Cambria" w:eastAsia="Cambria" w:hAnsi="Cambria" w:cs="Cambria" w:hint="eastAsia"/>
          <w:color w:val="335B8A"/>
          <w:sz w:val="24"/>
          <w:szCs w:val="24"/>
          <w:lang w:eastAsia="zh-CN"/>
        </w:rPr>
        <w:t>2</w:t>
      </w:r>
      <w:r w:rsidR="00DB27CE" w:rsidRPr="00983855">
        <w:rPr>
          <w:rFonts w:ascii="Cambria" w:eastAsia="Cambria" w:hAnsi="Cambria" w:cs="Cambria"/>
          <w:color w:val="335B8A"/>
          <w:sz w:val="24"/>
          <w:szCs w:val="24"/>
        </w:rPr>
        <w:t xml:space="preserve"> </w:t>
      </w:r>
      <w:r w:rsidR="00044DAF" w:rsidRPr="00983855">
        <w:rPr>
          <w:rFonts w:ascii="Cambria" w:eastAsia="Cambria" w:hAnsi="Cambria" w:cs="Cambria"/>
          <w:color w:val="335B8A"/>
          <w:sz w:val="24"/>
          <w:szCs w:val="24"/>
        </w:rPr>
        <w:t>Incremental cost-effectiveness scatterplot report</w:t>
      </w:r>
      <w:bookmarkEnd w:id="9"/>
      <w:r w:rsidR="00044DAF" w:rsidRPr="00983855">
        <w:rPr>
          <w:rFonts w:ascii="Cambria" w:eastAsia="Cambria" w:hAnsi="Cambria" w:cs="Cambria"/>
          <w:color w:val="335B8A"/>
          <w:sz w:val="24"/>
          <w:szCs w:val="24"/>
        </w:rPr>
        <w:t xml:space="preserve"> </w:t>
      </w:r>
    </w:p>
    <w:p w14:paraId="62B79D50" w14:textId="6EB3FC95" w:rsidR="00126F18" w:rsidRPr="00983855" w:rsidRDefault="002F3FF4" w:rsidP="00983855">
      <w:pPr>
        <w:spacing w:line="480" w:lineRule="auto"/>
        <w:ind w:firstLine="360"/>
        <w:rPr>
          <w:lang w:eastAsia="zh-CN"/>
        </w:rPr>
      </w:pPr>
      <w:r w:rsidRPr="00983855">
        <w:rPr>
          <w:lang w:eastAsia="zh-CN"/>
        </w:rPr>
        <w:t>Table</w:t>
      </w:r>
      <w:r w:rsidR="00490C03">
        <w:rPr>
          <w:rFonts w:hint="eastAsia"/>
          <w:lang w:eastAsia="zh-CN"/>
        </w:rPr>
        <w:t xml:space="preserve"> G</w:t>
      </w:r>
      <w:r w:rsidRPr="00983855">
        <w:rPr>
          <w:lang w:eastAsia="zh-CN"/>
        </w:rPr>
        <w:t xml:space="preserve"> </w:t>
      </w:r>
      <w:r w:rsidR="000C6D32" w:rsidRPr="00983855">
        <w:rPr>
          <w:lang w:eastAsia="zh-CN"/>
        </w:rPr>
        <w:t xml:space="preserve">presents results generated from a </w:t>
      </w:r>
      <w:r w:rsidR="00044DAF" w:rsidRPr="00983855">
        <w:rPr>
          <w:lang w:eastAsia="zh-CN"/>
        </w:rPr>
        <w:t>Monte Carlo simulation (</w:t>
      </w:r>
      <w:r w:rsidR="00042854" w:rsidRPr="00983855">
        <w:rPr>
          <w:lang w:eastAsia="zh-CN"/>
        </w:rPr>
        <w:t xml:space="preserve">10,000 simulations of </w:t>
      </w:r>
      <w:r w:rsidR="000C6D32" w:rsidRPr="00983855">
        <w:rPr>
          <w:lang w:eastAsia="zh-CN"/>
        </w:rPr>
        <w:t>probabilistic sensitivity analysis</w:t>
      </w:r>
      <w:r w:rsidR="00044DAF" w:rsidRPr="00983855">
        <w:rPr>
          <w:lang w:eastAsia="zh-CN"/>
        </w:rPr>
        <w:t>)</w:t>
      </w:r>
      <w:r w:rsidR="000C6D32" w:rsidRPr="00983855">
        <w:rPr>
          <w:lang w:eastAsia="zh-CN"/>
        </w:rPr>
        <w:t>. According to the results, the ICER of implementing the NCMS was more likely to exceed the willingness-to-pay (WTP) threshold</w:t>
      </w:r>
      <w:r w:rsidR="00965788" w:rsidRPr="00983855">
        <w:rPr>
          <w:lang w:eastAsia="zh-CN"/>
        </w:rPr>
        <w:t>—</w:t>
      </w:r>
      <w:r w:rsidR="000C6D32" w:rsidRPr="00983855">
        <w:rPr>
          <w:lang w:eastAsia="zh-CN"/>
        </w:rPr>
        <w:t xml:space="preserve">three times </w:t>
      </w:r>
      <w:r w:rsidR="004D6221" w:rsidRPr="00983855">
        <w:rPr>
          <w:lang w:eastAsia="zh-CN"/>
        </w:rPr>
        <w:t>per</w:t>
      </w:r>
      <w:r w:rsidR="004D6221" w:rsidRPr="00983855">
        <w:rPr>
          <w:rFonts w:hint="eastAsia"/>
          <w:lang w:eastAsia="zh-CN"/>
        </w:rPr>
        <w:t xml:space="preserve"> capita</w:t>
      </w:r>
      <w:r w:rsidR="004D6221" w:rsidRPr="00983855">
        <w:rPr>
          <w:lang w:eastAsia="zh-CN"/>
        </w:rPr>
        <w:t xml:space="preserve"> </w:t>
      </w:r>
      <w:r w:rsidR="000C6D32" w:rsidRPr="00983855">
        <w:rPr>
          <w:lang w:eastAsia="zh-CN"/>
        </w:rPr>
        <w:t>GDP</w:t>
      </w:r>
      <w:r w:rsidR="004D6221" w:rsidRPr="00983855">
        <w:rPr>
          <w:lang w:eastAsia="zh-CN"/>
        </w:rPr>
        <w:t xml:space="preserve"> </w:t>
      </w:r>
      <w:r w:rsidR="000C6D32" w:rsidRPr="00983855">
        <w:rPr>
          <w:lang w:eastAsia="zh-CN"/>
        </w:rPr>
        <w:t>of China in 2013 ($</w:t>
      </w:r>
      <w:r w:rsidR="00684E2F" w:rsidRPr="00983855">
        <w:rPr>
          <w:lang w:eastAsia="zh-CN"/>
        </w:rPr>
        <w:t>37</w:t>
      </w:r>
      <w:r w:rsidR="000C6D32" w:rsidRPr="00983855">
        <w:rPr>
          <w:lang w:eastAsia="zh-CN"/>
        </w:rPr>
        <w:t>,</w:t>
      </w:r>
      <w:r w:rsidR="00684E2F" w:rsidRPr="00983855">
        <w:rPr>
          <w:lang w:eastAsia="zh-CN"/>
        </w:rPr>
        <w:t>059</w:t>
      </w:r>
      <w:r w:rsidR="000C6D32" w:rsidRPr="00983855">
        <w:rPr>
          <w:lang w:eastAsia="zh-CN"/>
        </w:rPr>
        <w:t>). The probabilit</w:t>
      </w:r>
      <w:r w:rsidR="00364B10" w:rsidRPr="00983855">
        <w:rPr>
          <w:lang w:eastAsia="zh-CN"/>
        </w:rPr>
        <w:t>ies</w:t>
      </w:r>
      <w:r w:rsidR="000C6D32" w:rsidRPr="00983855">
        <w:rPr>
          <w:lang w:eastAsia="zh-CN"/>
        </w:rPr>
        <w:t xml:space="preserve"> of the NCMS being </w:t>
      </w:r>
      <w:r w:rsidR="00387221" w:rsidRPr="00983855">
        <w:rPr>
          <w:lang w:eastAsia="zh-CN"/>
        </w:rPr>
        <w:t xml:space="preserve">dominant and </w:t>
      </w:r>
      <w:r w:rsidR="000C6D32" w:rsidRPr="00983855">
        <w:rPr>
          <w:lang w:eastAsia="zh-CN"/>
        </w:rPr>
        <w:t>cost-effective w</w:t>
      </w:r>
      <w:r w:rsidR="00364B10" w:rsidRPr="00983855">
        <w:rPr>
          <w:lang w:eastAsia="zh-CN"/>
        </w:rPr>
        <w:t>ere</w:t>
      </w:r>
      <w:r w:rsidR="000C6D32" w:rsidRPr="00983855">
        <w:rPr>
          <w:lang w:eastAsia="zh-CN"/>
        </w:rPr>
        <w:t xml:space="preserve"> </w:t>
      </w:r>
      <w:r w:rsidR="00387221" w:rsidRPr="00983855">
        <w:rPr>
          <w:lang w:eastAsia="zh-CN"/>
        </w:rPr>
        <w:t>17.5</w:t>
      </w:r>
      <w:r w:rsidR="000C6D32" w:rsidRPr="00983855">
        <w:rPr>
          <w:lang w:eastAsia="zh-CN"/>
        </w:rPr>
        <w:t>%</w:t>
      </w:r>
      <w:r w:rsidR="00364B10" w:rsidRPr="00983855">
        <w:rPr>
          <w:lang w:eastAsia="zh-CN"/>
        </w:rPr>
        <w:t xml:space="preserve"> and 15.3</w:t>
      </w:r>
      <w:r w:rsidR="00387221" w:rsidRPr="00983855">
        <w:rPr>
          <w:lang w:eastAsia="zh-CN"/>
        </w:rPr>
        <w:t>%, respectively</w:t>
      </w:r>
      <w:r w:rsidR="000C6D32" w:rsidRPr="00983855">
        <w:rPr>
          <w:lang w:eastAsia="zh-CN"/>
        </w:rPr>
        <w:t>.</w:t>
      </w:r>
      <w:r w:rsidR="00965788" w:rsidRPr="00983855">
        <w:rPr>
          <w:lang w:eastAsia="zh-CN"/>
        </w:rPr>
        <w:t xml:space="preserve"> </w:t>
      </w:r>
      <w:r w:rsidR="00126F18" w:rsidRPr="00983855">
        <w:rPr>
          <w:lang w:eastAsia="zh-CN"/>
        </w:rPr>
        <w:t>The ICER of implementing the NCMS had a 34.8% chance of exce</w:t>
      </w:r>
      <w:r w:rsidR="0054402D" w:rsidRPr="00983855">
        <w:rPr>
          <w:lang w:eastAsia="zh-CN"/>
        </w:rPr>
        <w:t xml:space="preserve">eding the WTP threshold and </w:t>
      </w:r>
      <w:r w:rsidR="00126F18" w:rsidRPr="00983855">
        <w:rPr>
          <w:lang w:eastAsia="zh-CN"/>
        </w:rPr>
        <w:t>a 23.5% chance of reducing quality-adjusted life years and incurring costs.</w:t>
      </w:r>
    </w:p>
    <w:p w14:paraId="27637F22" w14:textId="34FEEFA8" w:rsidR="00170CFB" w:rsidRPr="00983855" w:rsidRDefault="000C6D32">
      <w:pPr>
        <w:tabs>
          <w:tab w:val="left" w:pos="6030"/>
        </w:tabs>
        <w:spacing w:line="480" w:lineRule="auto"/>
        <w:rPr>
          <w:b/>
          <w:vertAlign w:val="superscript"/>
        </w:rPr>
      </w:pPr>
      <w:r w:rsidRPr="00983855">
        <w:rPr>
          <w:b/>
        </w:rPr>
        <w:t>Table</w:t>
      </w:r>
      <w:r w:rsidR="00536D8C">
        <w:rPr>
          <w:rFonts w:hint="eastAsia"/>
          <w:b/>
          <w:lang w:eastAsia="zh-CN"/>
        </w:rPr>
        <w:t xml:space="preserve"> G</w:t>
      </w:r>
      <w:r w:rsidR="002F3FF4" w:rsidRPr="00983855">
        <w:rPr>
          <w:b/>
        </w:rPr>
        <w:t>.</w:t>
      </w:r>
      <w:r w:rsidRPr="00983855">
        <w:rPr>
          <w:b/>
        </w:rPr>
        <w:t xml:space="preserve"> </w:t>
      </w:r>
      <w:r w:rsidR="00F16656" w:rsidRPr="00983855">
        <w:rPr>
          <w:b/>
        </w:rPr>
        <w:t>The i</w:t>
      </w:r>
      <w:r w:rsidRPr="00983855">
        <w:rPr>
          <w:b/>
        </w:rPr>
        <w:t>ncremental cost-effectiveness scatterplot report</w:t>
      </w:r>
      <w:r w:rsidR="00A02DFB" w:rsidRPr="00983855">
        <w:rPr>
          <w:rFonts w:ascii="Helvetica Neue" w:eastAsia="Helvetica Neue" w:hAnsi="Helvetica Neue" w:cs="Helvetica Neue"/>
          <w:color w:val="353535"/>
        </w:rPr>
        <w:t>*</w:t>
      </w:r>
    </w:p>
    <w:tbl>
      <w:tblPr>
        <w:tblStyle w:val="a2"/>
        <w:tblW w:w="13176" w:type="dxa"/>
        <w:tblBorders>
          <w:top w:val="single" w:sz="18" w:space="0" w:color="000000"/>
          <w:left w:val="nil"/>
          <w:bottom w:val="single" w:sz="18" w:space="0" w:color="000000"/>
          <w:right w:val="nil"/>
          <w:insideH w:val="nil"/>
          <w:insideV w:val="nil"/>
        </w:tblBorders>
        <w:tblLayout w:type="fixed"/>
        <w:tblLook w:val="0400" w:firstRow="0" w:lastRow="0" w:firstColumn="0" w:lastColumn="0" w:noHBand="0" w:noVBand="1"/>
      </w:tblPr>
      <w:tblGrid>
        <w:gridCol w:w="1882"/>
        <w:gridCol w:w="1882"/>
        <w:gridCol w:w="1882"/>
        <w:gridCol w:w="1882"/>
        <w:gridCol w:w="1882"/>
        <w:gridCol w:w="1883"/>
        <w:gridCol w:w="1883"/>
      </w:tblGrid>
      <w:tr w:rsidR="00170CFB" w:rsidRPr="00983855" w14:paraId="3D75DBDF" w14:textId="77777777">
        <w:tc>
          <w:tcPr>
            <w:tcW w:w="1882" w:type="dxa"/>
            <w:tcBorders>
              <w:top w:val="single" w:sz="18" w:space="0" w:color="000000"/>
              <w:bottom w:val="single" w:sz="8" w:space="0" w:color="000000"/>
            </w:tcBorders>
            <w:vAlign w:val="bottom"/>
          </w:tcPr>
          <w:p w14:paraId="2F10F007" w14:textId="77777777" w:rsidR="00170CFB" w:rsidRPr="00983855" w:rsidRDefault="000C6D32" w:rsidP="004D4E06">
            <w:pPr>
              <w:spacing w:line="480" w:lineRule="auto"/>
              <w:jc w:val="center"/>
              <w:rPr>
                <w:b/>
              </w:rPr>
            </w:pPr>
            <w:r w:rsidRPr="00983855">
              <w:rPr>
                <w:b/>
              </w:rPr>
              <w:t>Component</w:t>
            </w:r>
          </w:p>
        </w:tc>
        <w:tc>
          <w:tcPr>
            <w:tcW w:w="1882" w:type="dxa"/>
            <w:tcBorders>
              <w:top w:val="single" w:sz="18" w:space="0" w:color="000000"/>
              <w:bottom w:val="single" w:sz="8" w:space="0" w:color="000000"/>
            </w:tcBorders>
            <w:vAlign w:val="bottom"/>
          </w:tcPr>
          <w:p w14:paraId="37D50A9E" w14:textId="77777777" w:rsidR="00170CFB" w:rsidRPr="00983855" w:rsidRDefault="000C6D32" w:rsidP="004D4E06">
            <w:pPr>
              <w:spacing w:line="480" w:lineRule="auto"/>
              <w:jc w:val="center"/>
              <w:rPr>
                <w:b/>
              </w:rPr>
            </w:pPr>
            <w:r w:rsidRPr="00983855">
              <w:rPr>
                <w:b/>
              </w:rPr>
              <w:t>Quadrant</w:t>
            </w:r>
          </w:p>
        </w:tc>
        <w:tc>
          <w:tcPr>
            <w:tcW w:w="1882" w:type="dxa"/>
            <w:tcBorders>
              <w:top w:val="single" w:sz="18" w:space="0" w:color="000000"/>
              <w:bottom w:val="single" w:sz="8" w:space="0" w:color="000000"/>
            </w:tcBorders>
            <w:vAlign w:val="bottom"/>
          </w:tcPr>
          <w:p w14:paraId="03053395" w14:textId="77777777" w:rsidR="00170CFB" w:rsidRPr="00983855" w:rsidRDefault="000C6D32" w:rsidP="004D4E06">
            <w:pPr>
              <w:spacing w:line="480" w:lineRule="auto"/>
              <w:jc w:val="center"/>
              <w:rPr>
                <w:b/>
              </w:rPr>
            </w:pPr>
            <w:r w:rsidRPr="00983855">
              <w:rPr>
                <w:b/>
              </w:rPr>
              <w:t>INCREFF</w:t>
            </w:r>
          </w:p>
        </w:tc>
        <w:tc>
          <w:tcPr>
            <w:tcW w:w="1882" w:type="dxa"/>
            <w:tcBorders>
              <w:top w:val="single" w:sz="18" w:space="0" w:color="000000"/>
              <w:bottom w:val="single" w:sz="8" w:space="0" w:color="000000"/>
            </w:tcBorders>
            <w:vAlign w:val="bottom"/>
          </w:tcPr>
          <w:p w14:paraId="799888FB" w14:textId="77777777" w:rsidR="00170CFB" w:rsidRPr="00983855" w:rsidRDefault="000C6D32" w:rsidP="004D4E06">
            <w:pPr>
              <w:spacing w:line="480" w:lineRule="auto"/>
              <w:jc w:val="center"/>
              <w:rPr>
                <w:b/>
              </w:rPr>
            </w:pPr>
            <w:r w:rsidRPr="00983855">
              <w:rPr>
                <w:b/>
              </w:rPr>
              <w:t>INCRCOST</w:t>
            </w:r>
          </w:p>
        </w:tc>
        <w:tc>
          <w:tcPr>
            <w:tcW w:w="1882" w:type="dxa"/>
            <w:tcBorders>
              <w:top w:val="single" w:sz="18" w:space="0" w:color="000000"/>
              <w:bottom w:val="single" w:sz="8" w:space="0" w:color="000000"/>
            </w:tcBorders>
            <w:vAlign w:val="bottom"/>
          </w:tcPr>
          <w:p w14:paraId="6BCC0BAE" w14:textId="77777777" w:rsidR="00170CFB" w:rsidRPr="00983855" w:rsidRDefault="000C6D32" w:rsidP="004D4E06">
            <w:pPr>
              <w:spacing w:line="480" w:lineRule="auto"/>
              <w:jc w:val="center"/>
              <w:rPr>
                <w:b/>
              </w:rPr>
            </w:pPr>
            <w:r w:rsidRPr="00983855">
              <w:rPr>
                <w:b/>
              </w:rPr>
              <w:t>INCRCE</w:t>
            </w:r>
          </w:p>
        </w:tc>
        <w:tc>
          <w:tcPr>
            <w:tcW w:w="1883" w:type="dxa"/>
            <w:tcBorders>
              <w:top w:val="single" w:sz="18" w:space="0" w:color="000000"/>
              <w:bottom w:val="single" w:sz="8" w:space="0" w:color="000000"/>
            </w:tcBorders>
            <w:vAlign w:val="bottom"/>
          </w:tcPr>
          <w:p w14:paraId="0DE904C8" w14:textId="77777777" w:rsidR="00170CFB" w:rsidRPr="00983855" w:rsidRDefault="000C6D32" w:rsidP="004D4E06">
            <w:pPr>
              <w:spacing w:line="480" w:lineRule="auto"/>
              <w:jc w:val="center"/>
              <w:rPr>
                <w:b/>
              </w:rPr>
            </w:pPr>
            <w:r w:rsidRPr="00983855">
              <w:rPr>
                <w:b/>
              </w:rPr>
              <w:t>Frequency</w:t>
            </w:r>
          </w:p>
        </w:tc>
        <w:tc>
          <w:tcPr>
            <w:tcW w:w="1883" w:type="dxa"/>
            <w:tcBorders>
              <w:top w:val="single" w:sz="18" w:space="0" w:color="000000"/>
              <w:bottom w:val="single" w:sz="8" w:space="0" w:color="000000"/>
            </w:tcBorders>
            <w:vAlign w:val="bottom"/>
          </w:tcPr>
          <w:p w14:paraId="3F6915CB" w14:textId="77777777" w:rsidR="00170CFB" w:rsidRPr="00983855" w:rsidRDefault="000C6D32" w:rsidP="004D4E06">
            <w:pPr>
              <w:spacing w:line="480" w:lineRule="auto"/>
              <w:jc w:val="center"/>
              <w:rPr>
                <w:b/>
              </w:rPr>
            </w:pPr>
            <w:r w:rsidRPr="00983855">
              <w:rPr>
                <w:b/>
              </w:rPr>
              <w:t>Proportion</w:t>
            </w:r>
          </w:p>
        </w:tc>
      </w:tr>
      <w:tr w:rsidR="00170CFB" w:rsidRPr="00983855" w14:paraId="51697082" w14:textId="77777777">
        <w:tc>
          <w:tcPr>
            <w:tcW w:w="1882" w:type="dxa"/>
            <w:tcBorders>
              <w:top w:val="single" w:sz="8" w:space="0" w:color="000000"/>
            </w:tcBorders>
            <w:vAlign w:val="bottom"/>
          </w:tcPr>
          <w:p w14:paraId="6D80CCA8" w14:textId="77777777" w:rsidR="00170CFB" w:rsidRPr="00983855" w:rsidRDefault="000C6D32" w:rsidP="004D4E06">
            <w:pPr>
              <w:spacing w:line="480" w:lineRule="auto"/>
              <w:jc w:val="center"/>
              <w:rPr>
                <w:b/>
              </w:rPr>
            </w:pPr>
            <w:r w:rsidRPr="00983855">
              <w:t>C1</w:t>
            </w:r>
          </w:p>
        </w:tc>
        <w:tc>
          <w:tcPr>
            <w:tcW w:w="1882" w:type="dxa"/>
            <w:tcBorders>
              <w:top w:val="single" w:sz="8" w:space="0" w:color="000000"/>
            </w:tcBorders>
            <w:vAlign w:val="bottom"/>
          </w:tcPr>
          <w:p w14:paraId="01383049" w14:textId="77777777" w:rsidR="00170CFB" w:rsidRPr="00983855" w:rsidRDefault="000C6D32" w:rsidP="00983855">
            <w:pPr>
              <w:spacing w:line="480" w:lineRule="auto"/>
              <w:jc w:val="center"/>
              <w:rPr>
                <w:b/>
              </w:rPr>
            </w:pPr>
            <w:r w:rsidRPr="00983855">
              <w:t>IV</w:t>
            </w:r>
          </w:p>
        </w:tc>
        <w:tc>
          <w:tcPr>
            <w:tcW w:w="1882" w:type="dxa"/>
            <w:tcBorders>
              <w:top w:val="single" w:sz="8" w:space="0" w:color="000000"/>
            </w:tcBorders>
            <w:vAlign w:val="bottom"/>
          </w:tcPr>
          <w:p w14:paraId="63A11FAF" w14:textId="77777777" w:rsidR="00170CFB" w:rsidRPr="00983855" w:rsidRDefault="000C6D32" w:rsidP="00983855">
            <w:pPr>
              <w:spacing w:line="480" w:lineRule="auto"/>
              <w:jc w:val="center"/>
              <w:rPr>
                <w:b/>
              </w:rPr>
            </w:pPr>
            <w:r w:rsidRPr="00983855">
              <w:t>IE&gt;0</w:t>
            </w:r>
          </w:p>
        </w:tc>
        <w:tc>
          <w:tcPr>
            <w:tcW w:w="1882" w:type="dxa"/>
            <w:tcBorders>
              <w:top w:val="single" w:sz="8" w:space="0" w:color="000000"/>
            </w:tcBorders>
            <w:vAlign w:val="bottom"/>
          </w:tcPr>
          <w:p w14:paraId="37495B23" w14:textId="77777777" w:rsidR="00170CFB" w:rsidRPr="00983855" w:rsidRDefault="000C6D32" w:rsidP="00983855">
            <w:pPr>
              <w:spacing w:line="480" w:lineRule="auto"/>
              <w:jc w:val="center"/>
              <w:rPr>
                <w:b/>
              </w:rPr>
            </w:pPr>
            <w:r w:rsidRPr="00983855">
              <w:t>IC&lt;0</w:t>
            </w:r>
          </w:p>
        </w:tc>
        <w:tc>
          <w:tcPr>
            <w:tcW w:w="1882" w:type="dxa"/>
            <w:tcBorders>
              <w:top w:val="single" w:sz="8" w:space="0" w:color="000000"/>
            </w:tcBorders>
            <w:vAlign w:val="bottom"/>
          </w:tcPr>
          <w:p w14:paraId="143A1580" w14:textId="77777777" w:rsidR="00170CFB" w:rsidRPr="00983855" w:rsidRDefault="000C6D32" w:rsidP="00983855">
            <w:pPr>
              <w:spacing w:line="480" w:lineRule="auto"/>
              <w:jc w:val="center"/>
              <w:rPr>
                <w:b/>
              </w:rPr>
            </w:pPr>
            <w:r w:rsidRPr="00983855">
              <w:t>Superior</w:t>
            </w:r>
          </w:p>
        </w:tc>
        <w:tc>
          <w:tcPr>
            <w:tcW w:w="1883" w:type="dxa"/>
            <w:tcMar>
              <w:top w:w="100" w:type="dxa"/>
              <w:left w:w="100" w:type="dxa"/>
              <w:bottom w:w="100" w:type="dxa"/>
              <w:right w:w="100" w:type="dxa"/>
            </w:tcMar>
          </w:tcPr>
          <w:p w14:paraId="1357836E" w14:textId="456977A2" w:rsidR="00170CFB" w:rsidRPr="00983855" w:rsidRDefault="00D81990">
            <w:pPr>
              <w:spacing w:line="480" w:lineRule="auto"/>
              <w:jc w:val="right"/>
            </w:pPr>
            <w:r w:rsidRPr="00983855">
              <w:t>1751</w:t>
            </w:r>
          </w:p>
        </w:tc>
        <w:tc>
          <w:tcPr>
            <w:tcW w:w="1883" w:type="dxa"/>
            <w:tcMar>
              <w:top w:w="100" w:type="dxa"/>
              <w:left w:w="100" w:type="dxa"/>
              <w:bottom w:w="100" w:type="dxa"/>
              <w:right w:w="100" w:type="dxa"/>
            </w:tcMar>
          </w:tcPr>
          <w:p w14:paraId="1F59C1B8" w14:textId="288C624A" w:rsidR="00170CFB" w:rsidRPr="00983855" w:rsidRDefault="000C6D32">
            <w:pPr>
              <w:spacing w:line="480" w:lineRule="auto"/>
              <w:jc w:val="right"/>
            </w:pPr>
            <w:r w:rsidRPr="00983855">
              <w:t>0</w:t>
            </w:r>
            <w:r w:rsidR="00387221" w:rsidRPr="00983855">
              <w:t>.1751</w:t>
            </w:r>
          </w:p>
        </w:tc>
      </w:tr>
      <w:tr w:rsidR="00170CFB" w:rsidRPr="00983855" w14:paraId="427F676A" w14:textId="77777777">
        <w:tc>
          <w:tcPr>
            <w:tcW w:w="1882" w:type="dxa"/>
            <w:vAlign w:val="bottom"/>
          </w:tcPr>
          <w:p w14:paraId="550DFBB3" w14:textId="77777777" w:rsidR="00170CFB" w:rsidRPr="00983855" w:rsidRDefault="000C6D32" w:rsidP="004D4E06">
            <w:pPr>
              <w:spacing w:line="480" w:lineRule="auto"/>
              <w:jc w:val="center"/>
              <w:rPr>
                <w:b/>
              </w:rPr>
            </w:pPr>
            <w:r w:rsidRPr="00983855">
              <w:t>C2</w:t>
            </w:r>
          </w:p>
        </w:tc>
        <w:tc>
          <w:tcPr>
            <w:tcW w:w="1882" w:type="dxa"/>
            <w:vAlign w:val="bottom"/>
          </w:tcPr>
          <w:p w14:paraId="147DDF04" w14:textId="77777777" w:rsidR="00170CFB" w:rsidRPr="00983855" w:rsidRDefault="000C6D32" w:rsidP="00983855">
            <w:pPr>
              <w:spacing w:line="480" w:lineRule="auto"/>
              <w:jc w:val="center"/>
              <w:rPr>
                <w:b/>
              </w:rPr>
            </w:pPr>
            <w:r w:rsidRPr="00983855">
              <w:t>I</w:t>
            </w:r>
          </w:p>
        </w:tc>
        <w:tc>
          <w:tcPr>
            <w:tcW w:w="1882" w:type="dxa"/>
            <w:vAlign w:val="bottom"/>
          </w:tcPr>
          <w:p w14:paraId="3BE15FE4" w14:textId="77777777" w:rsidR="00170CFB" w:rsidRPr="00983855" w:rsidRDefault="000C6D32" w:rsidP="00983855">
            <w:pPr>
              <w:spacing w:line="480" w:lineRule="auto"/>
              <w:jc w:val="center"/>
              <w:rPr>
                <w:b/>
              </w:rPr>
            </w:pPr>
            <w:r w:rsidRPr="00983855">
              <w:t>IE&gt;0</w:t>
            </w:r>
          </w:p>
        </w:tc>
        <w:tc>
          <w:tcPr>
            <w:tcW w:w="1882" w:type="dxa"/>
            <w:vAlign w:val="bottom"/>
          </w:tcPr>
          <w:p w14:paraId="50287396" w14:textId="77777777" w:rsidR="00170CFB" w:rsidRPr="00983855" w:rsidRDefault="000C6D32" w:rsidP="00983855">
            <w:pPr>
              <w:spacing w:line="480" w:lineRule="auto"/>
              <w:jc w:val="center"/>
              <w:rPr>
                <w:b/>
              </w:rPr>
            </w:pPr>
            <w:r w:rsidRPr="00983855">
              <w:t>IC&gt;0</w:t>
            </w:r>
          </w:p>
        </w:tc>
        <w:tc>
          <w:tcPr>
            <w:tcW w:w="1882" w:type="dxa"/>
            <w:vAlign w:val="bottom"/>
          </w:tcPr>
          <w:p w14:paraId="3AE71F74" w14:textId="0BD53DBA" w:rsidR="00170CFB" w:rsidRPr="00983855" w:rsidRDefault="000C6D32" w:rsidP="00983855">
            <w:pPr>
              <w:spacing w:line="480" w:lineRule="auto"/>
              <w:jc w:val="center"/>
              <w:rPr>
                <w:b/>
              </w:rPr>
            </w:pPr>
            <w:r w:rsidRPr="00983855">
              <w:t>ICER&lt;$</w:t>
            </w:r>
            <w:r w:rsidR="003C27DF" w:rsidRPr="00983855">
              <w:t>37</w:t>
            </w:r>
            <w:r w:rsidRPr="00983855">
              <w:t>,</w:t>
            </w:r>
            <w:r w:rsidR="003C27DF" w:rsidRPr="00983855">
              <w:t>059</w:t>
            </w:r>
          </w:p>
        </w:tc>
        <w:tc>
          <w:tcPr>
            <w:tcW w:w="1883" w:type="dxa"/>
            <w:tcMar>
              <w:top w:w="100" w:type="dxa"/>
              <w:left w:w="100" w:type="dxa"/>
              <w:bottom w:w="100" w:type="dxa"/>
              <w:right w:w="100" w:type="dxa"/>
            </w:tcMar>
          </w:tcPr>
          <w:p w14:paraId="4FAE7670" w14:textId="0EADAD23" w:rsidR="00170CFB" w:rsidRPr="00983855" w:rsidRDefault="000C6D32">
            <w:pPr>
              <w:spacing w:line="480" w:lineRule="auto"/>
              <w:jc w:val="right"/>
            </w:pPr>
            <w:r w:rsidRPr="00983855">
              <w:t>1</w:t>
            </w:r>
            <w:r w:rsidR="00387221" w:rsidRPr="00983855">
              <w:t>527</w:t>
            </w:r>
          </w:p>
        </w:tc>
        <w:tc>
          <w:tcPr>
            <w:tcW w:w="1883" w:type="dxa"/>
            <w:tcMar>
              <w:top w:w="100" w:type="dxa"/>
              <w:left w:w="100" w:type="dxa"/>
              <w:bottom w:w="100" w:type="dxa"/>
              <w:right w:w="100" w:type="dxa"/>
            </w:tcMar>
          </w:tcPr>
          <w:p w14:paraId="73028399" w14:textId="7049BE0D" w:rsidR="00170CFB" w:rsidRPr="00983855" w:rsidRDefault="000C6D32">
            <w:pPr>
              <w:spacing w:line="480" w:lineRule="auto"/>
              <w:jc w:val="right"/>
            </w:pPr>
            <w:r w:rsidRPr="00983855">
              <w:t>0.1</w:t>
            </w:r>
            <w:r w:rsidR="00387221" w:rsidRPr="00983855">
              <w:t>527</w:t>
            </w:r>
          </w:p>
        </w:tc>
      </w:tr>
      <w:tr w:rsidR="00170CFB" w:rsidRPr="00983855" w14:paraId="1A99C810" w14:textId="77777777">
        <w:tc>
          <w:tcPr>
            <w:tcW w:w="1882" w:type="dxa"/>
            <w:vAlign w:val="bottom"/>
          </w:tcPr>
          <w:p w14:paraId="2CAF1777" w14:textId="77777777" w:rsidR="00170CFB" w:rsidRPr="00983855" w:rsidRDefault="000C6D32" w:rsidP="004D4E06">
            <w:pPr>
              <w:spacing w:line="480" w:lineRule="auto"/>
              <w:jc w:val="center"/>
              <w:rPr>
                <w:b/>
              </w:rPr>
            </w:pPr>
            <w:r w:rsidRPr="00983855">
              <w:t>C3</w:t>
            </w:r>
          </w:p>
        </w:tc>
        <w:tc>
          <w:tcPr>
            <w:tcW w:w="1882" w:type="dxa"/>
            <w:vAlign w:val="bottom"/>
          </w:tcPr>
          <w:p w14:paraId="5423EE6C" w14:textId="77777777" w:rsidR="00170CFB" w:rsidRPr="00983855" w:rsidRDefault="000C6D32" w:rsidP="00983855">
            <w:pPr>
              <w:spacing w:line="480" w:lineRule="auto"/>
              <w:jc w:val="center"/>
              <w:rPr>
                <w:b/>
              </w:rPr>
            </w:pPr>
            <w:r w:rsidRPr="00983855">
              <w:t>III</w:t>
            </w:r>
          </w:p>
        </w:tc>
        <w:tc>
          <w:tcPr>
            <w:tcW w:w="1882" w:type="dxa"/>
            <w:vAlign w:val="bottom"/>
          </w:tcPr>
          <w:p w14:paraId="017E75F0" w14:textId="77777777" w:rsidR="00170CFB" w:rsidRPr="00983855" w:rsidRDefault="000C6D32" w:rsidP="00983855">
            <w:pPr>
              <w:spacing w:line="480" w:lineRule="auto"/>
              <w:jc w:val="center"/>
              <w:rPr>
                <w:b/>
              </w:rPr>
            </w:pPr>
            <w:r w:rsidRPr="00983855">
              <w:t>IE&lt;0</w:t>
            </w:r>
          </w:p>
        </w:tc>
        <w:tc>
          <w:tcPr>
            <w:tcW w:w="1882" w:type="dxa"/>
            <w:vAlign w:val="bottom"/>
          </w:tcPr>
          <w:p w14:paraId="6B7F1D5A" w14:textId="77777777" w:rsidR="00170CFB" w:rsidRPr="00983855" w:rsidRDefault="000C6D32" w:rsidP="00983855">
            <w:pPr>
              <w:spacing w:line="480" w:lineRule="auto"/>
              <w:jc w:val="center"/>
              <w:rPr>
                <w:b/>
              </w:rPr>
            </w:pPr>
            <w:r w:rsidRPr="00983855">
              <w:t>IC&lt;0</w:t>
            </w:r>
          </w:p>
        </w:tc>
        <w:tc>
          <w:tcPr>
            <w:tcW w:w="1882" w:type="dxa"/>
            <w:vAlign w:val="bottom"/>
          </w:tcPr>
          <w:p w14:paraId="0695E323" w14:textId="580CEF7C" w:rsidR="00170CFB" w:rsidRPr="00983855" w:rsidRDefault="000C6D32" w:rsidP="00983855">
            <w:pPr>
              <w:spacing w:line="480" w:lineRule="auto"/>
              <w:jc w:val="center"/>
              <w:rPr>
                <w:b/>
              </w:rPr>
            </w:pPr>
            <w:r w:rsidRPr="00983855">
              <w:t>ICER&gt;$</w:t>
            </w:r>
            <w:r w:rsidR="003C27DF" w:rsidRPr="00983855">
              <w:t>37,059</w:t>
            </w:r>
          </w:p>
        </w:tc>
        <w:tc>
          <w:tcPr>
            <w:tcW w:w="1883" w:type="dxa"/>
            <w:tcMar>
              <w:top w:w="100" w:type="dxa"/>
              <w:left w:w="100" w:type="dxa"/>
              <w:bottom w:w="100" w:type="dxa"/>
              <w:right w:w="100" w:type="dxa"/>
            </w:tcMar>
          </w:tcPr>
          <w:p w14:paraId="3F3761D9" w14:textId="315ABFAF" w:rsidR="00170CFB" w:rsidRPr="00983855" w:rsidRDefault="00387221">
            <w:pPr>
              <w:spacing w:line="480" w:lineRule="auto"/>
              <w:jc w:val="right"/>
            </w:pPr>
            <w:r w:rsidRPr="00983855">
              <w:t>5</w:t>
            </w:r>
            <w:r w:rsidR="000C6D32" w:rsidRPr="00983855">
              <w:t>0</w:t>
            </w:r>
            <w:r w:rsidRPr="00983855">
              <w:t>9</w:t>
            </w:r>
          </w:p>
        </w:tc>
        <w:tc>
          <w:tcPr>
            <w:tcW w:w="1883" w:type="dxa"/>
            <w:tcMar>
              <w:top w:w="100" w:type="dxa"/>
              <w:left w:w="100" w:type="dxa"/>
              <w:bottom w:w="100" w:type="dxa"/>
              <w:right w:w="100" w:type="dxa"/>
            </w:tcMar>
          </w:tcPr>
          <w:p w14:paraId="4AB19B25" w14:textId="759B3FF8" w:rsidR="00170CFB" w:rsidRPr="00983855" w:rsidRDefault="000C6D32">
            <w:pPr>
              <w:spacing w:line="480" w:lineRule="auto"/>
              <w:jc w:val="right"/>
            </w:pPr>
            <w:r w:rsidRPr="00983855">
              <w:t>0</w:t>
            </w:r>
            <w:r w:rsidR="00387221" w:rsidRPr="00983855">
              <w:t>.0509</w:t>
            </w:r>
          </w:p>
        </w:tc>
      </w:tr>
      <w:tr w:rsidR="00170CFB" w:rsidRPr="00983855" w14:paraId="3A33B41D" w14:textId="77777777">
        <w:tc>
          <w:tcPr>
            <w:tcW w:w="1882" w:type="dxa"/>
            <w:vAlign w:val="bottom"/>
          </w:tcPr>
          <w:p w14:paraId="189CDDB0" w14:textId="77777777" w:rsidR="00170CFB" w:rsidRPr="00983855" w:rsidRDefault="000C6D32" w:rsidP="004D4E06">
            <w:pPr>
              <w:spacing w:line="480" w:lineRule="auto"/>
              <w:jc w:val="center"/>
              <w:rPr>
                <w:b/>
              </w:rPr>
            </w:pPr>
            <w:r w:rsidRPr="00983855">
              <w:t>C4</w:t>
            </w:r>
          </w:p>
        </w:tc>
        <w:tc>
          <w:tcPr>
            <w:tcW w:w="1882" w:type="dxa"/>
            <w:vAlign w:val="bottom"/>
          </w:tcPr>
          <w:p w14:paraId="54F1748A" w14:textId="77777777" w:rsidR="00170CFB" w:rsidRPr="00983855" w:rsidRDefault="000C6D32" w:rsidP="00983855">
            <w:pPr>
              <w:spacing w:line="480" w:lineRule="auto"/>
              <w:jc w:val="center"/>
              <w:rPr>
                <w:b/>
              </w:rPr>
            </w:pPr>
            <w:r w:rsidRPr="00983855">
              <w:t>I</w:t>
            </w:r>
          </w:p>
        </w:tc>
        <w:tc>
          <w:tcPr>
            <w:tcW w:w="1882" w:type="dxa"/>
            <w:vAlign w:val="bottom"/>
          </w:tcPr>
          <w:p w14:paraId="4E10B689" w14:textId="77777777" w:rsidR="00170CFB" w:rsidRPr="00983855" w:rsidRDefault="000C6D32" w:rsidP="00983855">
            <w:pPr>
              <w:spacing w:line="480" w:lineRule="auto"/>
              <w:jc w:val="center"/>
              <w:rPr>
                <w:b/>
              </w:rPr>
            </w:pPr>
            <w:r w:rsidRPr="00983855">
              <w:t>IE&gt;0</w:t>
            </w:r>
          </w:p>
        </w:tc>
        <w:tc>
          <w:tcPr>
            <w:tcW w:w="1882" w:type="dxa"/>
            <w:vAlign w:val="bottom"/>
          </w:tcPr>
          <w:p w14:paraId="72378EE4" w14:textId="77777777" w:rsidR="00170CFB" w:rsidRPr="00983855" w:rsidRDefault="000C6D32" w:rsidP="00983855">
            <w:pPr>
              <w:spacing w:line="480" w:lineRule="auto"/>
              <w:jc w:val="center"/>
              <w:rPr>
                <w:b/>
              </w:rPr>
            </w:pPr>
            <w:r w:rsidRPr="00983855">
              <w:t>IC&gt;0</w:t>
            </w:r>
          </w:p>
        </w:tc>
        <w:tc>
          <w:tcPr>
            <w:tcW w:w="1882" w:type="dxa"/>
            <w:vAlign w:val="bottom"/>
          </w:tcPr>
          <w:p w14:paraId="5871BAF6" w14:textId="034C3E25" w:rsidR="00170CFB" w:rsidRPr="00983855" w:rsidRDefault="000C6D32" w:rsidP="00983855">
            <w:pPr>
              <w:spacing w:line="480" w:lineRule="auto"/>
              <w:jc w:val="center"/>
              <w:rPr>
                <w:b/>
              </w:rPr>
            </w:pPr>
            <w:r w:rsidRPr="00983855">
              <w:t>ICER&gt;$</w:t>
            </w:r>
            <w:r w:rsidR="003C27DF" w:rsidRPr="00983855">
              <w:t>37,059</w:t>
            </w:r>
          </w:p>
        </w:tc>
        <w:tc>
          <w:tcPr>
            <w:tcW w:w="1883" w:type="dxa"/>
            <w:tcMar>
              <w:top w:w="100" w:type="dxa"/>
              <w:left w:w="100" w:type="dxa"/>
              <w:bottom w:w="100" w:type="dxa"/>
              <w:right w:w="100" w:type="dxa"/>
            </w:tcMar>
          </w:tcPr>
          <w:p w14:paraId="1E1E4C35" w14:textId="1EF8B99B" w:rsidR="00170CFB" w:rsidRPr="00983855" w:rsidRDefault="00387221">
            <w:pPr>
              <w:spacing w:line="480" w:lineRule="auto"/>
              <w:jc w:val="right"/>
            </w:pPr>
            <w:r w:rsidRPr="00983855">
              <w:t>34</w:t>
            </w:r>
            <w:r w:rsidR="000C6D32" w:rsidRPr="00983855">
              <w:t>8</w:t>
            </w:r>
            <w:r w:rsidRPr="00983855">
              <w:t>0</w:t>
            </w:r>
          </w:p>
        </w:tc>
        <w:tc>
          <w:tcPr>
            <w:tcW w:w="1883" w:type="dxa"/>
            <w:tcMar>
              <w:top w:w="100" w:type="dxa"/>
              <w:left w:w="100" w:type="dxa"/>
              <w:bottom w:w="100" w:type="dxa"/>
              <w:right w:w="100" w:type="dxa"/>
            </w:tcMar>
          </w:tcPr>
          <w:p w14:paraId="0B5E42C2" w14:textId="475549E6" w:rsidR="00170CFB" w:rsidRPr="00983855" w:rsidRDefault="000C6D32">
            <w:pPr>
              <w:spacing w:line="480" w:lineRule="auto"/>
              <w:jc w:val="right"/>
            </w:pPr>
            <w:r w:rsidRPr="00983855">
              <w:t>0.</w:t>
            </w:r>
            <w:r w:rsidR="00387221" w:rsidRPr="00983855">
              <w:t>3480</w:t>
            </w:r>
          </w:p>
        </w:tc>
      </w:tr>
      <w:tr w:rsidR="00170CFB" w:rsidRPr="00983855" w14:paraId="3970CBBA" w14:textId="77777777">
        <w:tc>
          <w:tcPr>
            <w:tcW w:w="1882" w:type="dxa"/>
            <w:vAlign w:val="bottom"/>
          </w:tcPr>
          <w:p w14:paraId="6C9199BE" w14:textId="77777777" w:rsidR="00170CFB" w:rsidRPr="00983855" w:rsidRDefault="000C6D32" w:rsidP="004D4E06">
            <w:pPr>
              <w:spacing w:line="480" w:lineRule="auto"/>
              <w:jc w:val="center"/>
              <w:rPr>
                <w:b/>
              </w:rPr>
            </w:pPr>
            <w:r w:rsidRPr="00983855">
              <w:t>C5</w:t>
            </w:r>
          </w:p>
        </w:tc>
        <w:tc>
          <w:tcPr>
            <w:tcW w:w="1882" w:type="dxa"/>
            <w:vAlign w:val="bottom"/>
          </w:tcPr>
          <w:p w14:paraId="28C40CBB" w14:textId="77777777" w:rsidR="00170CFB" w:rsidRPr="00983855" w:rsidRDefault="000C6D32" w:rsidP="00983855">
            <w:pPr>
              <w:spacing w:line="480" w:lineRule="auto"/>
              <w:jc w:val="center"/>
              <w:rPr>
                <w:b/>
              </w:rPr>
            </w:pPr>
            <w:r w:rsidRPr="00983855">
              <w:t>III</w:t>
            </w:r>
          </w:p>
        </w:tc>
        <w:tc>
          <w:tcPr>
            <w:tcW w:w="1882" w:type="dxa"/>
            <w:vAlign w:val="bottom"/>
          </w:tcPr>
          <w:p w14:paraId="04291B68" w14:textId="77777777" w:rsidR="00170CFB" w:rsidRPr="00983855" w:rsidRDefault="000C6D32" w:rsidP="00983855">
            <w:pPr>
              <w:spacing w:line="480" w:lineRule="auto"/>
              <w:jc w:val="center"/>
              <w:rPr>
                <w:b/>
              </w:rPr>
            </w:pPr>
            <w:r w:rsidRPr="00983855">
              <w:t>IE&lt;0</w:t>
            </w:r>
          </w:p>
        </w:tc>
        <w:tc>
          <w:tcPr>
            <w:tcW w:w="1882" w:type="dxa"/>
            <w:vAlign w:val="bottom"/>
          </w:tcPr>
          <w:p w14:paraId="380D2479" w14:textId="77777777" w:rsidR="00170CFB" w:rsidRPr="00983855" w:rsidRDefault="000C6D32" w:rsidP="00983855">
            <w:pPr>
              <w:spacing w:line="480" w:lineRule="auto"/>
              <w:jc w:val="center"/>
              <w:rPr>
                <w:b/>
                <w:lang w:eastAsia="zh-CN"/>
              </w:rPr>
            </w:pPr>
            <w:r w:rsidRPr="00983855">
              <w:t>IC&lt;0</w:t>
            </w:r>
          </w:p>
        </w:tc>
        <w:tc>
          <w:tcPr>
            <w:tcW w:w="1882" w:type="dxa"/>
            <w:vAlign w:val="bottom"/>
          </w:tcPr>
          <w:p w14:paraId="6B3CF891" w14:textId="2E00D5DF" w:rsidR="00170CFB" w:rsidRPr="00983855" w:rsidRDefault="000C6D32" w:rsidP="00983855">
            <w:pPr>
              <w:spacing w:line="480" w:lineRule="auto"/>
              <w:jc w:val="center"/>
              <w:rPr>
                <w:b/>
              </w:rPr>
            </w:pPr>
            <w:r w:rsidRPr="00983855">
              <w:t>ICER&lt;$</w:t>
            </w:r>
            <w:r w:rsidR="003C27DF" w:rsidRPr="00983855">
              <w:t>37,059</w:t>
            </w:r>
          </w:p>
        </w:tc>
        <w:tc>
          <w:tcPr>
            <w:tcW w:w="1883" w:type="dxa"/>
            <w:tcMar>
              <w:top w:w="100" w:type="dxa"/>
              <w:left w:w="100" w:type="dxa"/>
              <w:bottom w:w="100" w:type="dxa"/>
              <w:right w:w="100" w:type="dxa"/>
            </w:tcMar>
          </w:tcPr>
          <w:p w14:paraId="1D18BEE0" w14:textId="71199344" w:rsidR="00170CFB" w:rsidRPr="00983855" w:rsidRDefault="00387221">
            <w:pPr>
              <w:spacing w:line="480" w:lineRule="auto"/>
              <w:jc w:val="right"/>
            </w:pPr>
            <w:r w:rsidRPr="00983855">
              <w:t>384</w:t>
            </w:r>
          </w:p>
        </w:tc>
        <w:tc>
          <w:tcPr>
            <w:tcW w:w="1883" w:type="dxa"/>
            <w:tcMar>
              <w:top w:w="100" w:type="dxa"/>
              <w:left w:w="100" w:type="dxa"/>
              <w:bottom w:w="100" w:type="dxa"/>
              <w:right w:w="100" w:type="dxa"/>
            </w:tcMar>
          </w:tcPr>
          <w:p w14:paraId="595F55F0" w14:textId="5B745580" w:rsidR="00170CFB" w:rsidRPr="00983855" w:rsidRDefault="000C6D32">
            <w:pPr>
              <w:spacing w:line="480" w:lineRule="auto"/>
              <w:jc w:val="right"/>
            </w:pPr>
            <w:r w:rsidRPr="00983855">
              <w:t>0</w:t>
            </w:r>
            <w:r w:rsidR="00387221" w:rsidRPr="00983855">
              <w:t>.0384</w:t>
            </w:r>
          </w:p>
        </w:tc>
      </w:tr>
      <w:tr w:rsidR="00170CFB" w:rsidRPr="00983855" w14:paraId="0CA027E4" w14:textId="77777777">
        <w:tc>
          <w:tcPr>
            <w:tcW w:w="1882" w:type="dxa"/>
            <w:vAlign w:val="bottom"/>
          </w:tcPr>
          <w:p w14:paraId="37447BDB" w14:textId="77777777" w:rsidR="00170CFB" w:rsidRPr="00983855" w:rsidRDefault="000C6D32" w:rsidP="004D4E06">
            <w:pPr>
              <w:spacing w:line="480" w:lineRule="auto"/>
              <w:jc w:val="center"/>
              <w:rPr>
                <w:b/>
              </w:rPr>
            </w:pPr>
            <w:r w:rsidRPr="00983855">
              <w:lastRenderedPageBreak/>
              <w:t>C6</w:t>
            </w:r>
          </w:p>
        </w:tc>
        <w:tc>
          <w:tcPr>
            <w:tcW w:w="1882" w:type="dxa"/>
            <w:vAlign w:val="bottom"/>
          </w:tcPr>
          <w:p w14:paraId="59505FDE" w14:textId="77777777" w:rsidR="00170CFB" w:rsidRPr="00983855" w:rsidRDefault="000C6D32" w:rsidP="00983855">
            <w:pPr>
              <w:spacing w:line="480" w:lineRule="auto"/>
              <w:jc w:val="center"/>
              <w:rPr>
                <w:b/>
              </w:rPr>
            </w:pPr>
            <w:r w:rsidRPr="00983855">
              <w:t>II</w:t>
            </w:r>
          </w:p>
        </w:tc>
        <w:tc>
          <w:tcPr>
            <w:tcW w:w="1882" w:type="dxa"/>
            <w:vAlign w:val="bottom"/>
          </w:tcPr>
          <w:p w14:paraId="7B7AA348" w14:textId="77777777" w:rsidR="00170CFB" w:rsidRPr="00983855" w:rsidRDefault="000C6D32" w:rsidP="00983855">
            <w:pPr>
              <w:spacing w:line="480" w:lineRule="auto"/>
              <w:jc w:val="center"/>
              <w:rPr>
                <w:b/>
              </w:rPr>
            </w:pPr>
            <w:r w:rsidRPr="00983855">
              <w:t>IE&lt;0</w:t>
            </w:r>
          </w:p>
        </w:tc>
        <w:tc>
          <w:tcPr>
            <w:tcW w:w="1882" w:type="dxa"/>
            <w:vAlign w:val="bottom"/>
          </w:tcPr>
          <w:p w14:paraId="2AD706FB" w14:textId="77777777" w:rsidR="00170CFB" w:rsidRPr="00983855" w:rsidRDefault="000C6D32" w:rsidP="00983855">
            <w:pPr>
              <w:spacing w:line="480" w:lineRule="auto"/>
              <w:jc w:val="center"/>
              <w:rPr>
                <w:b/>
              </w:rPr>
            </w:pPr>
            <w:r w:rsidRPr="00983855">
              <w:t>IC&gt;0</w:t>
            </w:r>
          </w:p>
        </w:tc>
        <w:tc>
          <w:tcPr>
            <w:tcW w:w="1882" w:type="dxa"/>
            <w:vAlign w:val="bottom"/>
          </w:tcPr>
          <w:p w14:paraId="16338E8C" w14:textId="77777777" w:rsidR="00170CFB" w:rsidRPr="00983855" w:rsidRDefault="000C6D32" w:rsidP="00983855">
            <w:pPr>
              <w:spacing w:line="480" w:lineRule="auto"/>
              <w:jc w:val="center"/>
              <w:rPr>
                <w:b/>
              </w:rPr>
            </w:pPr>
            <w:r w:rsidRPr="00983855">
              <w:t>Inferior</w:t>
            </w:r>
          </w:p>
        </w:tc>
        <w:tc>
          <w:tcPr>
            <w:tcW w:w="1883" w:type="dxa"/>
            <w:tcMar>
              <w:top w:w="100" w:type="dxa"/>
              <w:left w:w="100" w:type="dxa"/>
              <w:bottom w:w="100" w:type="dxa"/>
              <w:right w:w="100" w:type="dxa"/>
            </w:tcMar>
          </w:tcPr>
          <w:p w14:paraId="52F04FA6" w14:textId="7D338DF0" w:rsidR="00170CFB" w:rsidRPr="00983855" w:rsidRDefault="000C6D32">
            <w:pPr>
              <w:spacing w:line="480" w:lineRule="auto"/>
              <w:jc w:val="right"/>
            </w:pPr>
            <w:r w:rsidRPr="00983855">
              <w:t>2</w:t>
            </w:r>
            <w:r w:rsidR="00387221" w:rsidRPr="00983855">
              <w:t>349</w:t>
            </w:r>
          </w:p>
        </w:tc>
        <w:tc>
          <w:tcPr>
            <w:tcW w:w="1883" w:type="dxa"/>
            <w:tcMar>
              <w:top w:w="100" w:type="dxa"/>
              <w:left w:w="100" w:type="dxa"/>
              <w:bottom w:w="100" w:type="dxa"/>
              <w:right w:w="100" w:type="dxa"/>
            </w:tcMar>
          </w:tcPr>
          <w:p w14:paraId="682C7562" w14:textId="3DD9224E" w:rsidR="00170CFB" w:rsidRPr="00983855" w:rsidRDefault="000C6D32">
            <w:pPr>
              <w:spacing w:line="480" w:lineRule="auto"/>
              <w:jc w:val="right"/>
            </w:pPr>
            <w:r w:rsidRPr="00983855">
              <w:t>0.</w:t>
            </w:r>
            <w:r w:rsidR="00387221" w:rsidRPr="00983855">
              <w:t>2</w:t>
            </w:r>
            <w:r w:rsidRPr="00983855">
              <w:t>3</w:t>
            </w:r>
            <w:r w:rsidR="00387221" w:rsidRPr="00983855">
              <w:t>49</w:t>
            </w:r>
          </w:p>
        </w:tc>
      </w:tr>
      <w:tr w:rsidR="00170CFB" w:rsidRPr="00983855" w14:paraId="2F32F9DA" w14:textId="77777777">
        <w:tc>
          <w:tcPr>
            <w:tcW w:w="1882" w:type="dxa"/>
            <w:vAlign w:val="bottom"/>
          </w:tcPr>
          <w:p w14:paraId="77270FE5" w14:textId="77777777" w:rsidR="00170CFB" w:rsidRPr="00983855" w:rsidRDefault="000C6D32" w:rsidP="004D4E06">
            <w:pPr>
              <w:spacing w:line="480" w:lineRule="auto"/>
              <w:jc w:val="center"/>
              <w:rPr>
                <w:b/>
              </w:rPr>
            </w:pPr>
            <w:r w:rsidRPr="00983855">
              <w:t>Indiff</w:t>
            </w:r>
          </w:p>
        </w:tc>
        <w:tc>
          <w:tcPr>
            <w:tcW w:w="1882" w:type="dxa"/>
            <w:vAlign w:val="bottom"/>
          </w:tcPr>
          <w:p w14:paraId="3099BBA1" w14:textId="77777777" w:rsidR="00170CFB" w:rsidRPr="00983855" w:rsidRDefault="000C6D32" w:rsidP="00983855">
            <w:pPr>
              <w:spacing w:line="480" w:lineRule="auto"/>
              <w:jc w:val="center"/>
              <w:rPr>
                <w:b/>
              </w:rPr>
            </w:pPr>
            <w:r w:rsidRPr="00983855">
              <w:t>origin</w:t>
            </w:r>
          </w:p>
        </w:tc>
        <w:tc>
          <w:tcPr>
            <w:tcW w:w="1882" w:type="dxa"/>
            <w:vAlign w:val="bottom"/>
          </w:tcPr>
          <w:p w14:paraId="14BFD7A6" w14:textId="77777777" w:rsidR="00170CFB" w:rsidRPr="00983855" w:rsidRDefault="000C6D32" w:rsidP="00983855">
            <w:pPr>
              <w:spacing w:line="480" w:lineRule="auto"/>
              <w:jc w:val="center"/>
              <w:rPr>
                <w:b/>
              </w:rPr>
            </w:pPr>
            <w:r w:rsidRPr="00983855">
              <w:t>IE=0</w:t>
            </w:r>
          </w:p>
        </w:tc>
        <w:tc>
          <w:tcPr>
            <w:tcW w:w="1882" w:type="dxa"/>
            <w:vAlign w:val="bottom"/>
          </w:tcPr>
          <w:p w14:paraId="1EC0ABB6" w14:textId="77777777" w:rsidR="00170CFB" w:rsidRPr="00983855" w:rsidRDefault="000C6D32" w:rsidP="00983855">
            <w:pPr>
              <w:spacing w:line="480" w:lineRule="auto"/>
              <w:jc w:val="center"/>
              <w:rPr>
                <w:b/>
              </w:rPr>
            </w:pPr>
            <w:r w:rsidRPr="00983855">
              <w:t>IC=0</w:t>
            </w:r>
          </w:p>
        </w:tc>
        <w:tc>
          <w:tcPr>
            <w:tcW w:w="1882" w:type="dxa"/>
            <w:vAlign w:val="bottom"/>
          </w:tcPr>
          <w:p w14:paraId="608825A1" w14:textId="77777777" w:rsidR="00170CFB" w:rsidRPr="00983855" w:rsidRDefault="000C6D32" w:rsidP="00983855">
            <w:pPr>
              <w:spacing w:line="480" w:lineRule="auto"/>
              <w:jc w:val="center"/>
              <w:rPr>
                <w:b/>
              </w:rPr>
            </w:pPr>
            <w:r w:rsidRPr="00983855">
              <w:t>0/0</w:t>
            </w:r>
          </w:p>
        </w:tc>
        <w:tc>
          <w:tcPr>
            <w:tcW w:w="1883" w:type="dxa"/>
            <w:tcMar>
              <w:top w:w="100" w:type="dxa"/>
              <w:left w:w="100" w:type="dxa"/>
              <w:bottom w:w="100" w:type="dxa"/>
              <w:right w:w="100" w:type="dxa"/>
            </w:tcMar>
          </w:tcPr>
          <w:p w14:paraId="62187A63" w14:textId="77777777" w:rsidR="00170CFB" w:rsidRPr="00983855" w:rsidRDefault="000C6D32">
            <w:pPr>
              <w:spacing w:line="480" w:lineRule="auto"/>
              <w:jc w:val="right"/>
            </w:pPr>
            <w:r w:rsidRPr="00983855">
              <w:t>0</w:t>
            </w:r>
          </w:p>
        </w:tc>
        <w:tc>
          <w:tcPr>
            <w:tcW w:w="1883" w:type="dxa"/>
            <w:tcMar>
              <w:top w:w="100" w:type="dxa"/>
              <w:left w:w="100" w:type="dxa"/>
              <w:bottom w:w="100" w:type="dxa"/>
              <w:right w:w="100" w:type="dxa"/>
            </w:tcMar>
          </w:tcPr>
          <w:p w14:paraId="601C0D31" w14:textId="77777777" w:rsidR="00170CFB" w:rsidRPr="00983855" w:rsidRDefault="000C6D32">
            <w:pPr>
              <w:spacing w:line="480" w:lineRule="auto"/>
              <w:jc w:val="right"/>
            </w:pPr>
            <w:r w:rsidRPr="00983855">
              <w:t>0</w:t>
            </w:r>
          </w:p>
        </w:tc>
      </w:tr>
    </w:tbl>
    <w:p w14:paraId="4C56AEB5" w14:textId="4DE0D153" w:rsidR="0054402D" w:rsidRPr="00983855" w:rsidRDefault="00A02DFB">
      <w:pPr>
        <w:spacing w:line="480" w:lineRule="auto"/>
        <w:rPr>
          <w:lang w:eastAsia="zh-CN"/>
        </w:rPr>
      </w:pPr>
      <w:r w:rsidRPr="00983855">
        <w:rPr>
          <w:rFonts w:ascii="Helvetica Neue" w:eastAsia="Helvetica Neue" w:hAnsi="Helvetica Neue" w:cs="Helvetica Neue"/>
          <w:color w:val="353535"/>
        </w:rPr>
        <w:t>*</w:t>
      </w:r>
      <w:r w:rsidR="000C6D32" w:rsidRPr="00983855">
        <w:t xml:space="preserve"> Three times per capita GDP of China in 2013 was used as the </w:t>
      </w:r>
      <w:r w:rsidR="00F16656" w:rsidRPr="00983855">
        <w:t>willingness-to-pay</w:t>
      </w:r>
      <w:r w:rsidR="000C6D32" w:rsidRPr="00983855">
        <w:t xml:space="preserve"> threshold.</w:t>
      </w:r>
    </w:p>
    <w:p w14:paraId="323BD372" w14:textId="77777777" w:rsidR="00170CFB" w:rsidRPr="00983855" w:rsidRDefault="00170CFB" w:rsidP="00983855">
      <w:pPr>
        <w:spacing w:line="480" w:lineRule="auto"/>
        <w:rPr>
          <w:lang w:eastAsia="zh-CN"/>
        </w:rPr>
      </w:pPr>
      <w:bookmarkStart w:id="10" w:name="_6zo7k25wtk9k" w:colFirst="0" w:colLast="0"/>
      <w:bookmarkEnd w:id="10"/>
    </w:p>
    <w:p w14:paraId="367B45A7" w14:textId="5B854135" w:rsidR="00AB0A8C" w:rsidRPr="00983855" w:rsidRDefault="008541F3" w:rsidP="00983855">
      <w:pPr>
        <w:pStyle w:val="Heading2"/>
        <w:spacing w:before="120" w:line="480" w:lineRule="auto"/>
        <w:rPr>
          <w:rFonts w:ascii="Cambria" w:eastAsia="Cambria" w:hAnsi="Cambria" w:cs="Cambria"/>
          <w:color w:val="335B8A"/>
          <w:sz w:val="24"/>
          <w:szCs w:val="24"/>
        </w:rPr>
      </w:pPr>
      <w:bookmarkStart w:id="11" w:name="_dukhbv404a5o" w:colFirst="0" w:colLast="0"/>
      <w:bookmarkStart w:id="12" w:name="_Toc515773213"/>
      <w:bookmarkEnd w:id="11"/>
      <w:r w:rsidRPr="00983855">
        <w:rPr>
          <w:rFonts w:ascii="Cambria" w:eastAsia="Cambria" w:hAnsi="Cambria" w:cs="Cambria" w:hint="eastAsia"/>
          <w:color w:val="335B8A"/>
          <w:sz w:val="24"/>
          <w:szCs w:val="24"/>
          <w:lang w:eastAsia="zh-CN"/>
        </w:rPr>
        <w:t>6</w:t>
      </w:r>
      <w:r w:rsidR="00A161CD" w:rsidRPr="00983855">
        <w:rPr>
          <w:rFonts w:ascii="Cambria" w:eastAsia="Cambria" w:hAnsi="Cambria" w:cs="Cambria"/>
          <w:color w:val="335B8A"/>
          <w:sz w:val="24"/>
          <w:szCs w:val="24"/>
        </w:rPr>
        <w:t>.</w:t>
      </w:r>
      <w:r w:rsidR="00177271">
        <w:rPr>
          <w:rFonts w:ascii="Cambria" w:eastAsia="Cambria" w:hAnsi="Cambria" w:cs="Cambria" w:hint="eastAsia"/>
          <w:color w:val="335B8A"/>
          <w:sz w:val="24"/>
          <w:szCs w:val="24"/>
          <w:lang w:eastAsia="zh-CN"/>
        </w:rPr>
        <w:t>3</w:t>
      </w:r>
      <w:r w:rsidR="000C6D32" w:rsidRPr="00983855">
        <w:rPr>
          <w:rFonts w:ascii="Cambria" w:eastAsia="Cambria" w:hAnsi="Cambria" w:cs="Cambria"/>
          <w:color w:val="335B8A"/>
          <w:sz w:val="24"/>
          <w:szCs w:val="24"/>
        </w:rPr>
        <w:t xml:space="preserve"> One-way sensitivity analys</w:t>
      </w:r>
      <w:r w:rsidR="009F7DB4" w:rsidRPr="00983855">
        <w:rPr>
          <w:rFonts w:ascii="Cambria" w:eastAsia="Cambria" w:hAnsi="Cambria" w:cs="Cambria"/>
          <w:color w:val="335B8A"/>
          <w:sz w:val="24"/>
          <w:szCs w:val="24"/>
        </w:rPr>
        <w:t>e</w:t>
      </w:r>
      <w:r w:rsidR="000C6D32" w:rsidRPr="00983855">
        <w:rPr>
          <w:rFonts w:ascii="Cambria" w:eastAsia="Cambria" w:hAnsi="Cambria" w:cs="Cambria"/>
          <w:color w:val="335B8A"/>
          <w:sz w:val="24"/>
          <w:szCs w:val="24"/>
        </w:rPr>
        <w:t>s</w:t>
      </w:r>
      <w:bookmarkEnd w:id="12"/>
    </w:p>
    <w:p w14:paraId="3C2B89F7" w14:textId="3270CA57" w:rsidR="00170CFB" w:rsidRPr="00983855" w:rsidRDefault="00AB0A8C" w:rsidP="00983855">
      <w:pPr>
        <w:spacing w:line="480" w:lineRule="auto"/>
        <w:ind w:firstLine="720"/>
      </w:pPr>
      <w:r w:rsidRPr="00983855">
        <w:t>Table</w:t>
      </w:r>
      <w:r w:rsidR="00536D8C">
        <w:rPr>
          <w:rFonts w:hint="eastAsia"/>
          <w:lang w:eastAsia="zh-CN"/>
        </w:rPr>
        <w:t xml:space="preserve"> H</w:t>
      </w:r>
      <w:r w:rsidRPr="00983855">
        <w:t xml:space="preserve"> presents results obtained from a series of one-way sensitivity analyses. According to the results, </w:t>
      </w:r>
      <w:r w:rsidR="00472A52" w:rsidRPr="00983855">
        <w:t xml:space="preserve">the NCMS remained not cost-effective </w:t>
      </w:r>
      <w:r w:rsidR="00DE10C6" w:rsidRPr="00983855">
        <w:t xml:space="preserve">across the range of </w:t>
      </w:r>
      <w:r w:rsidR="00695FED" w:rsidRPr="00983855">
        <w:t xml:space="preserve">health-related quality of life </w:t>
      </w:r>
      <w:r w:rsidR="003D26DB" w:rsidRPr="00983855">
        <w:t xml:space="preserve">score </w:t>
      </w:r>
      <w:r w:rsidR="00695FED" w:rsidRPr="00983855">
        <w:t xml:space="preserve">among normotensives and hypertensives, </w:t>
      </w:r>
      <w:r w:rsidR="003D26DB" w:rsidRPr="00983855">
        <w:t>hypertension-related medical costs per year</w:t>
      </w:r>
      <w:r w:rsidR="00695FED" w:rsidRPr="00983855">
        <w:t xml:space="preserve">, </w:t>
      </w:r>
      <w:r w:rsidR="004E4838" w:rsidRPr="00983855">
        <w:t>additional</w:t>
      </w:r>
      <w:r w:rsidR="00695FED" w:rsidRPr="00983855">
        <w:t xml:space="preserve"> hours worked in agriculture, and hourly income in agriculture</w:t>
      </w:r>
      <w:r w:rsidR="004E4838" w:rsidRPr="00983855">
        <w:t>.</w:t>
      </w:r>
    </w:p>
    <w:p w14:paraId="15F80CF1" w14:textId="6FCDDAA8" w:rsidR="00200C11" w:rsidRPr="00983855" w:rsidRDefault="000C6D32" w:rsidP="00983855">
      <w:pPr>
        <w:tabs>
          <w:tab w:val="left" w:pos="6030"/>
        </w:tabs>
        <w:spacing w:line="480" w:lineRule="auto"/>
        <w:rPr>
          <w:b/>
          <w:lang w:eastAsia="zh-CN"/>
        </w:rPr>
      </w:pPr>
      <w:r w:rsidRPr="00983855">
        <w:rPr>
          <w:b/>
        </w:rPr>
        <w:t>Table</w:t>
      </w:r>
      <w:r w:rsidR="00536D8C">
        <w:rPr>
          <w:rFonts w:hint="eastAsia"/>
          <w:b/>
          <w:lang w:eastAsia="zh-CN"/>
        </w:rPr>
        <w:t xml:space="preserve"> H</w:t>
      </w:r>
      <w:r w:rsidRPr="00983855">
        <w:rPr>
          <w:b/>
        </w:rPr>
        <w:t xml:space="preserve">. </w:t>
      </w:r>
      <w:r w:rsidR="003C27DF" w:rsidRPr="00983855">
        <w:rPr>
          <w:b/>
        </w:rPr>
        <w:t>One-way s</w:t>
      </w:r>
      <w:r w:rsidRPr="00983855">
        <w:rPr>
          <w:b/>
        </w:rPr>
        <w:t xml:space="preserve">ensitivity </w:t>
      </w:r>
      <w:r w:rsidR="003C27DF" w:rsidRPr="00983855">
        <w:rPr>
          <w:b/>
        </w:rPr>
        <w:t>a</w:t>
      </w:r>
      <w:r w:rsidRPr="00983855">
        <w:rPr>
          <w:b/>
        </w:rPr>
        <w:t>nalys</w:t>
      </w:r>
      <w:r w:rsidR="00200C11" w:rsidRPr="00983855">
        <w:rPr>
          <w:b/>
        </w:rPr>
        <w:t>e</w:t>
      </w:r>
      <w:r w:rsidRPr="00983855">
        <w:rPr>
          <w:b/>
        </w:rPr>
        <w:t>s</w:t>
      </w:r>
      <w:r w:rsidR="00200C11" w:rsidRPr="00983855">
        <w:rPr>
          <w:b/>
        </w:rPr>
        <w:t>, NCMS versus no NCMS (NCMS=New Rural Cooperative Medical Scheme)</w:t>
      </w:r>
    </w:p>
    <w:tbl>
      <w:tblPr>
        <w:tblW w:w="13580" w:type="dxa"/>
        <w:jc w:val="center"/>
        <w:tblBorders>
          <w:top w:val="single" w:sz="12" w:space="0" w:color="000000"/>
          <w:bottom w:val="single" w:sz="12" w:space="0" w:color="000000"/>
        </w:tblBorders>
        <w:tblLayout w:type="fixed"/>
        <w:tblLook w:val="0400" w:firstRow="0" w:lastRow="0" w:firstColumn="0" w:lastColumn="0" w:noHBand="0" w:noVBand="1"/>
      </w:tblPr>
      <w:tblGrid>
        <w:gridCol w:w="3860"/>
        <w:gridCol w:w="1490"/>
        <w:gridCol w:w="1624"/>
        <w:gridCol w:w="1529"/>
        <w:gridCol w:w="1567"/>
        <w:gridCol w:w="1670"/>
        <w:gridCol w:w="1840"/>
      </w:tblGrid>
      <w:tr w:rsidR="008C3A41" w:rsidRPr="00983855" w14:paraId="425760EA" w14:textId="77777777" w:rsidTr="00983855">
        <w:trPr>
          <w:jc w:val="center"/>
        </w:trPr>
        <w:tc>
          <w:tcPr>
            <w:tcW w:w="3860" w:type="dxa"/>
            <w:vMerge w:val="restart"/>
            <w:tcBorders>
              <w:top w:val="single" w:sz="18" w:space="0" w:color="000000"/>
            </w:tcBorders>
          </w:tcPr>
          <w:p w14:paraId="73E4BEBC" w14:textId="1AC8A418" w:rsidR="008C3A41" w:rsidRPr="00983855" w:rsidRDefault="008C3A41" w:rsidP="009F57E0">
            <w:pPr>
              <w:spacing w:line="360" w:lineRule="auto"/>
              <w:jc w:val="center"/>
              <w:rPr>
                <w:b/>
              </w:rPr>
            </w:pPr>
            <w:r w:rsidRPr="00983855">
              <w:rPr>
                <w:b/>
              </w:rPr>
              <w:t>Parameters</w:t>
            </w:r>
          </w:p>
        </w:tc>
        <w:tc>
          <w:tcPr>
            <w:tcW w:w="3114" w:type="dxa"/>
            <w:gridSpan w:val="2"/>
            <w:tcBorders>
              <w:top w:val="single" w:sz="18" w:space="0" w:color="000000"/>
              <w:bottom w:val="single" w:sz="12" w:space="0" w:color="000000"/>
            </w:tcBorders>
          </w:tcPr>
          <w:p w14:paraId="29762889" w14:textId="77777777" w:rsidR="008C3A41" w:rsidRPr="00983855" w:rsidRDefault="008C3A41" w:rsidP="009F57E0">
            <w:pPr>
              <w:spacing w:line="360" w:lineRule="auto"/>
              <w:jc w:val="center"/>
              <w:rPr>
                <w:b/>
              </w:rPr>
            </w:pPr>
            <w:r w:rsidRPr="00983855">
              <w:rPr>
                <w:b/>
              </w:rPr>
              <w:t>Incremental cost</w:t>
            </w:r>
          </w:p>
        </w:tc>
        <w:tc>
          <w:tcPr>
            <w:tcW w:w="3096" w:type="dxa"/>
            <w:gridSpan w:val="2"/>
            <w:tcBorders>
              <w:top w:val="single" w:sz="18" w:space="0" w:color="000000"/>
              <w:bottom w:val="single" w:sz="12" w:space="0" w:color="000000"/>
            </w:tcBorders>
          </w:tcPr>
          <w:p w14:paraId="34FDDB86" w14:textId="77777777" w:rsidR="008C3A41" w:rsidRPr="00983855" w:rsidRDefault="008C3A41" w:rsidP="009F57E0">
            <w:pPr>
              <w:spacing w:line="360" w:lineRule="auto"/>
              <w:jc w:val="center"/>
              <w:rPr>
                <w:b/>
              </w:rPr>
            </w:pPr>
            <w:r w:rsidRPr="00983855">
              <w:rPr>
                <w:b/>
              </w:rPr>
              <w:t>Incremental effectiveness</w:t>
            </w:r>
          </w:p>
        </w:tc>
        <w:tc>
          <w:tcPr>
            <w:tcW w:w="3510" w:type="dxa"/>
            <w:gridSpan w:val="2"/>
            <w:tcBorders>
              <w:top w:val="single" w:sz="18" w:space="0" w:color="000000"/>
              <w:bottom w:val="single" w:sz="12" w:space="0" w:color="000000"/>
            </w:tcBorders>
          </w:tcPr>
          <w:p w14:paraId="09DB6FA9" w14:textId="7AE74B7F" w:rsidR="008C3A41" w:rsidRPr="00983855" w:rsidRDefault="008C3A41" w:rsidP="00AB0A8C">
            <w:pPr>
              <w:spacing w:line="360" w:lineRule="auto"/>
              <w:jc w:val="center"/>
              <w:rPr>
                <w:b/>
              </w:rPr>
            </w:pPr>
            <w:r w:rsidRPr="00983855">
              <w:rPr>
                <w:b/>
              </w:rPr>
              <w:t>I</w:t>
            </w:r>
            <w:r w:rsidR="00AB0A8C" w:rsidRPr="00983855">
              <w:rPr>
                <w:b/>
              </w:rPr>
              <w:t>ncremental cost-effectiveness ratio</w:t>
            </w:r>
          </w:p>
        </w:tc>
      </w:tr>
      <w:tr w:rsidR="008C3A41" w:rsidRPr="00983855" w14:paraId="0C71D2AB" w14:textId="77777777" w:rsidTr="009F57E0">
        <w:trPr>
          <w:jc w:val="center"/>
        </w:trPr>
        <w:tc>
          <w:tcPr>
            <w:tcW w:w="3860" w:type="dxa"/>
            <w:vMerge/>
            <w:tcBorders>
              <w:bottom w:val="single" w:sz="12" w:space="0" w:color="000000"/>
            </w:tcBorders>
          </w:tcPr>
          <w:p w14:paraId="2D2DC587" w14:textId="756C88D3" w:rsidR="008C3A41" w:rsidRPr="00983855" w:rsidRDefault="008C3A41" w:rsidP="009F57E0">
            <w:pPr>
              <w:spacing w:line="360" w:lineRule="auto"/>
              <w:jc w:val="center"/>
              <w:rPr>
                <w:b/>
                <w:i/>
                <w:color w:val="4F81BD"/>
              </w:rPr>
            </w:pPr>
          </w:p>
        </w:tc>
        <w:tc>
          <w:tcPr>
            <w:tcW w:w="1490" w:type="dxa"/>
            <w:tcBorders>
              <w:top w:val="single" w:sz="12" w:space="0" w:color="000000"/>
              <w:bottom w:val="single" w:sz="12" w:space="0" w:color="000000"/>
            </w:tcBorders>
          </w:tcPr>
          <w:p w14:paraId="4FFFA1AF" w14:textId="77777777" w:rsidR="008C3A41" w:rsidRPr="00983855" w:rsidRDefault="008C3A41" w:rsidP="009F57E0">
            <w:pPr>
              <w:spacing w:line="360" w:lineRule="auto"/>
              <w:jc w:val="center"/>
              <w:rPr>
                <w:b/>
              </w:rPr>
            </w:pPr>
            <w:r w:rsidRPr="00983855">
              <w:rPr>
                <w:b/>
              </w:rPr>
              <w:t>Low</w:t>
            </w:r>
          </w:p>
        </w:tc>
        <w:tc>
          <w:tcPr>
            <w:tcW w:w="1624" w:type="dxa"/>
            <w:tcBorders>
              <w:top w:val="single" w:sz="12" w:space="0" w:color="000000"/>
              <w:bottom w:val="single" w:sz="12" w:space="0" w:color="000000"/>
            </w:tcBorders>
          </w:tcPr>
          <w:p w14:paraId="1CEAA805" w14:textId="77777777" w:rsidR="008C3A41" w:rsidRPr="00983855" w:rsidRDefault="008C3A41" w:rsidP="009F57E0">
            <w:pPr>
              <w:spacing w:line="360" w:lineRule="auto"/>
              <w:jc w:val="center"/>
              <w:rPr>
                <w:b/>
              </w:rPr>
            </w:pPr>
            <w:r w:rsidRPr="00983855">
              <w:rPr>
                <w:b/>
              </w:rPr>
              <w:t>High</w:t>
            </w:r>
          </w:p>
        </w:tc>
        <w:tc>
          <w:tcPr>
            <w:tcW w:w="1529" w:type="dxa"/>
            <w:tcBorders>
              <w:top w:val="single" w:sz="12" w:space="0" w:color="000000"/>
              <w:bottom w:val="single" w:sz="12" w:space="0" w:color="000000"/>
            </w:tcBorders>
          </w:tcPr>
          <w:p w14:paraId="713C7B70" w14:textId="77777777" w:rsidR="008C3A41" w:rsidRPr="00983855" w:rsidRDefault="008C3A41" w:rsidP="009F57E0">
            <w:pPr>
              <w:spacing w:line="360" w:lineRule="auto"/>
              <w:jc w:val="center"/>
              <w:rPr>
                <w:b/>
              </w:rPr>
            </w:pPr>
            <w:r w:rsidRPr="00983855">
              <w:rPr>
                <w:b/>
              </w:rPr>
              <w:t>Low</w:t>
            </w:r>
          </w:p>
        </w:tc>
        <w:tc>
          <w:tcPr>
            <w:tcW w:w="1567" w:type="dxa"/>
            <w:tcBorders>
              <w:top w:val="single" w:sz="12" w:space="0" w:color="000000"/>
              <w:bottom w:val="single" w:sz="12" w:space="0" w:color="000000"/>
            </w:tcBorders>
          </w:tcPr>
          <w:p w14:paraId="38587DA9" w14:textId="77777777" w:rsidR="008C3A41" w:rsidRPr="00983855" w:rsidRDefault="008C3A41" w:rsidP="009F57E0">
            <w:pPr>
              <w:spacing w:line="360" w:lineRule="auto"/>
              <w:jc w:val="center"/>
              <w:rPr>
                <w:b/>
              </w:rPr>
            </w:pPr>
            <w:r w:rsidRPr="00983855">
              <w:rPr>
                <w:b/>
              </w:rPr>
              <w:t>High</w:t>
            </w:r>
          </w:p>
        </w:tc>
        <w:tc>
          <w:tcPr>
            <w:tcW w:w="1670" w:type="dxa"/>
            <w:tcBorders>
              <w:top w:val="single" w:sz="12" w:space="0" w:color="000000"/>
              <w:bottom w:val="single" w:sz="12" w:space="0" w:color="000000"/>
            </w:tcBorders>
          </w:tcPr>
          <w:p w14:paraId="35D98D8B" w14:textId="77777777" w:rsidR="008C3A41" w:rsidRPr="00983855" w:rsidRDefault="008C3A41" w:rsidP="009F57E0">
            <w:pPr>
              <w:spacing w:line="360" w:lineRule="auto"/>
              <w:jc w:val="center"/>
              <w:rPr>
                <w:b/>
                <w:i/>
                <w:color w:val="4F81BD"/>
              </w:rPr>
            </w:pPr>
            <w:r w:rsidRPr="00983855">
              <w:rPr>
                <w:b/>
              </w:rPr>
              <w:t>Low</w:t>
            </w:r>
          </w:p>
        </w:tc>
        <w:tc>
          <w:tcPr>
            <w:tcW w:w="1840" w:type="dxa"/>
            <w:tcBorders>
              <w:top w:val="single" w:sz="12" w:space="0" w:color="000000"/>
              <w:bottom w:val="single" w:sz="12" w:space="0" w:color="000000"/>
            </w:tcBorders>
          </w:tcPr>
          <w:p w14:paraId="7617DC78" w14:textId="77777777" w:rsidR="008C3A41" w:rsidRPr="00983855" w:rsidRDefault="008C3A41" w:rsidP="009F57E0">
            <w:pPr>
              <w:spacing w:line="360" w:lineRule="auto"/>
              <w:jc w:val="center"/>
              <w:rPr>
                <w:b/>
              </w:rPr>
            </w:pPr>
            <w:r w:rsidRPr="00983855">
              <w:rPr>
                <w:b/>
              </w:rPr>
              <w:t xml:space="preserve">High </w:t>
            </w:r>
          </w:p>
        </w:tc>
      </w:tr>
      <w:tr w:rsidR="00316398" w:rsidRPr="00983855" w14:paraId="2280D610" w14:textId="77777777" w:rsidTr="00983855">
        <w:trPr>
          <w:jc w:val="center"/>
        </w:trPr>
        <w:tc>
          <w:tcPr>
            <w:tcW w:w="3860" w:type="dxa"/>
            <w:tcBorders>
              <w:top w:val="single" w:sz="12" w:space="0" w:color="000000"/>
            </w:tcBorders>
          </w:tcPr>
          <w:p w14:paraId="05ABB354" w14:textId="77777777" w:rsidR="00316398" w:rsidRPr="00983855" w:rsidRDefault="00316398" w:rsidP="009F57E0">
            <w:pPr>
              <w:spacing w:line="360" w:lineRule="auto"/>
            </w:pPr>
            <w:r w:rsidRPr="00983855">
              <w:t>Health-related quality of life</w:t>
            </w:r>
            <w:r w:rsidRPr="00983855">
              <w:rPr>
                <w:rFonts w:hint="eastAsia"/>
              </w:rPr>
              <w:t xml:space="preserve"> score</w:t>
            </w:r>
            <w:r w:rsidRPr="00983855">
              <w:t xml:space="preserve"> </w:t>
            </w:r>
            <w:r w:rsidRPr="00983855">
              <w:rPr>
                <w:rFonts w:hint="eastAsia"/>
              </w:rPr>
              <w:t xml:space="preserve">among </w:t>
            </w:r>
            <w:r w:rsidRPr="00983855">
              <w:rPr>
                <w:rFonts w:eastAsia="Times New Roman" w:cs="Times New Roman"/>
              </w:rPr>
              <w:t>normotensives</w:t>
            </w:r>
          </w:p>
        </w:tc>
        <w:tc>
          <w:tcPr>
            <w:tcW w:w="1490" w:type="dxa"/>
            <w:tcBorders>
              <w:top w:val="single" w:sz="12" w:space="0" w:color="000000"/>
            </w:tcBorders>
          </w:tcPr>
          <w:p w14:paraId="270B62C0" w14:textId="77777777" w:rsidR="00316398" w:rsidRPr="00983855" w:rsidRDefault="00316398" w:rsidP="009F57E0">
            <w:pPr>
              <w:spacing w:line="360" w:lineRule="auto"/>
              <w:jc w:val="center"/>
            </w:pPr>
            <w:r w:rsidRPr="00983855">
              <w:rPr>
                <w:rFonts w:hint="eastAsia"/>
              </w:rPr>
              <w:t>909</w:t>
            </w:r>
          </w:p>
        </w:tc>
        <w:tc>
          <w:tcPr>
            <w:tcW w:w="1624" w:type="dxa"/>
            <w:tcBorders>
              <w:top w:val="single" w:sz="12" w:space="0" w:color="000000"/>
            </w:tcBorders>
          </w:tcPr>
          <w:p w14:paraId="7AD8334B" w14:textId="77777777" w:rsidR="00316398" w:rsidRPr="00983855" w:rsidRDefault="00316398" w:rsidP="009F57E0">
            <w:pPr>
              <w:spacing w:line="360" w:lineRule="auto"/>
              <w:jc w:val="center"/>
            </w:pPr>
            <w:r w:rsidRPr="00983855">
              <w:rPr>
                <w:rFonts w:hint="eastAsia"/>
              </w:rPr>
              <w:t>909</w:t>
            </w:r>
          </w:p>
        </w:tc>
        <w:tc>
          <w:tcPr>
            <w:tcW w:w="1529" w:type="dxa"/>
            <w:tcBorders>
              <w:top w:val="single" w:sz="12" w:space="0" w:color="000000"/>
            </w:tcBorders>
          </w:tcPr>
          <w:p w14:paraId="5334B264" w14:textId="77777777" w:rsidR="00316398" w:rsidRPr="00983855" w:rsidRDefault="00316398" w:rsidP="009F57E0">
            <w:pPr>
              <w:spacing w:line="360" w:lineRule="auto"/>
              <w:jc w:val="center"/>
            </w:pPr>
            <w:r w:rsidRPr="00983855">
              <w:rPr>
                <w:rFonts w:hint="eastAsia"/>
              </w:rPr>
              <w:t>0.01</w:t>
            </w:r>
          </w:p>
        </w:tc>
        <w:tc>
          <w:tcPr>
            <w:tcW w:w="1567" w:type="dxa"/>
            <w:tcBorders>
              <w:top w:val="single" w:sz="12" w:space="0" w:color="000000"/>
            </w:tcBorders>
          </w:tcPr>
          <w:p w14:paraId="27AC80C5" w14:textId="77777777" w:rsidR="00316398" w:rsidRPr="00983855" w:rsidRDefault="00316398" w:rsidP="009F57E0">
            <w:pPr>
              <w:spacing w:line="360" w:lineRule="auto"/>
              <w:jc w:val="center"/>
            </w:pPr>
            <w:r w:rsidRPr="00983855">
              <w:rPr>
                <w:rFonts w:hint="eastAsia"/>
              </w:rPr>
              <w:t>0.01</w:t>
            </w:r>
          </w:p>
        </w:tc>
        <w:tc>
          <w:tcPr>
            <w:tcW w:w="1670" w:type="dxa"/>
            <w:tcBorders>
              <w:top w:val="single" w:sz="12" w:space="0" w:color="000000"/>
            </w:tcBorders>
          </w:tcPr>
          <w:p w14:paraId="1FD4C243" w14:textId="77777777" w:rsidR="00316398" w:rsidRPr="00983855" w:rsidRDefault="00316398" w:rsidP="009F57E0">
            <w:pPr>
              <w:spacing w:line="360" w:lineRule="auto"/>
              <w:jc w:val="center"/>
            </w:pPr>
            <w:r w:rsidRPr="00983855">
              <w:rPr>
                <w:rFonts w:hint="eastAsia"/>
              </w:rPr>
              <w:t>77,146</w:t>
            </w:r>
          </w:p>
        </w:tc>
        <w:tc>
          <w:tcPr>
            <w:tcW w:w="1840" w:type="dxa"/>
            <w:tcBorders>
              <w:top w:val="single" w:sz="12" w:space="0" w:color="000000"/>
            </w:tcBorders>
          </w:tcPr>
          <w:p w14:paraId="402D3CC3" w14:textId="77777777" w:rsidR="00316398" w:rsidRPr="00983855" w:rsidRDefault="00316398" w:rsidP="009F57E0">
            <w:pPr>
              <w:spacing w:line="360" w:lineRule="auto"/>
              <w:jc w:val="center"/>
            </w:pPr>
            <w:r w:rsidRPr="00983855">
              <w:rPr>
                <w:rFonts w:hint="eastAsia"/>
              </w:rPr>
              <w:t>72,957</w:t>
            </w:r>
          </w:p>
        </w:tc>
      </w:tr>
      <w:tr w:rsidR="00316398" w:rsidRPr="00983855" w14:paraId="67C224D8" w14:textId="77777777" w:rsidTr="00983855">
        <w:trPr>
          <w:jc w:val="center"/>
        </w:trPr>
        <w:tc>
          <w:tcPr>
            <w:tcW w:w="3860" w:type="dxa"/>
          </w:tcPr>
          <w:p w14:paraId="43A0F9C1" w14:textId="77777777" w:rsidR="00316398" w:rsidRPr="00983855" w:rsidRDefault="00316398" w:rsidP="009F57E0">
            <w:pPr>
              <w:spacing w:line="360" w:lineRule="auto"/>
            </w:pPr>
            <w:r w:rsidRPr="00983855">
              <w:t>Health-related quality of life</w:t>
            </w:r>
            <w:r w:rsidRPr="00983855">
              <w:rPr>
                <w:rFonts w:hint="eastAsia"/>
              </w:rPr>
              <w:t xml:space="preserve"> score</w:t>
            </w:r>
            <w:r w:rsidRPr="00983855">
              <w:t xml:space="preserve"> </w:t>
            </w:r>
            <w:r w:rsidRPr="00983855">
              <w:rPr>
                <w:rFonts w:hint="eastAsia"/>
              </w:rPr>
              <w:lastRenderedPageBreak/>
              <w:t>among hypertensives</w:t>
            </w:r>
          </w:p>
        </w:tc>
        <w:tc>
          <w:tcPr>
            <w:tcW w:w="1490" w:type="dxa"/>
          </w:tcPr>
          <w:p w14:paraId="119A4811" w14:textId="77777777" w:rsidR="00316398" w:rsidRPr="00983855" w:rsidRDefault="00316398" w:rsidP="009F57E0">
            <w:pPr>
              <w:spacing w:line="360" w:lineRule="auto"/>
              <w:jc w:val="center"/>
            </w:pPr>
            <w:r w:rsidRPr="00983855">
              <w:rPr>
                <w:rFonts w:hint="eastAsia"/>
              </w:rPr>
              <w:lastRenderedPageBreak/>
              <w:t>909</w:t>
            </w:r>
          </w:p>
        </w:tc>
        <w:tc>
          <w:tcPr>
            <w:tcW w:w="1624" w:type="dxa"/>
          </w:tcPr>
          <w:p w14:paraId="66CB7DAE" w14:textId="77777777" w:rsidR="00316398" w:rsidRPr="00983855" w:rsidRDefault="00316398" w:rsidP="009F57E0">
            <w:pPr>
              <w:spacing w:line="360" w:lineRule="auto"/>
              <w:jc w:val="center"/>
            </w:pPr>
            <w:r w:rsidRPr="00983855">
              <w:rPr>
                <w:rFonts w:hint="eastAsia"/>
              </w:rPr>
              <w:t>909</w:t>
            </w:r>
          </w:p>
        </w:tc>
        <w:tc>
          <w:tcPr>
            <w:tcW w:w="1529" w:type="dxa"/>
          </w:tcPr>
          <w:p w14:paraId="27A15D52" w14:textId="77777777" w:rsidR="00316398" w:rsidRPr="00983855" w:rsidRDefault="00316398" w:rsidP="009F57E0">
            <w:pPr>
              <w:spacing w:line="360" w:lineRule="auto"/>
              <w:jc w:val="center"/>
            </w:pPr>
            <w:r w:rsidRPr="00983855">
              <w:rPr>
                <w:rFonts w:hint="eastAsia"/>
              </w:rPr>
              <w:t>0.01</w:t>
            </w:r>
          </w:p>
        </w:tc>
        <w:tc>
          <w:tcPr>
            <w:tcW w:w="1567" w:type="dxa"/>
          </w:tcPr>
          <w:p w14:paraId="7485D5D9" w14:textId="77777777" w:rsidR="00316398" w:rsidRPr="00983855" w:rsidRDefault="00316398" w:rsidP="009F57E0">
            <w:pPr>
              <w:spacing w:line="360" w:lineRule="auto"/>
              <w:jc w:val="center"/>
            </w:pPr>
            <w:r w:rsidRPr="00983855">
              <w:rPr>
                <w:rFonts w:hint="eastAsia"/>
              </w:rPr>
              <w:t>0.01</w:t>
            </w:r>
          </w:p>
        </w:tc>
        <w:tc>
          <w:tcPr>
            <w:tcW w:w="1670" w:type="dxa"/>
          </w:tcPr>
          <w:p w14:paraId="4D69D57A" w14:textId="77777777" w:rsidR="00316398" w:rsidRPr="00983855" w:rsidRDefault="00316398" w:rsidP="009F57E0">
            <w:pPr>
              <w:spacing w:line="360" w:lineRule="auto"/>
              <w:jc w:val="center"/>
            </w:pPr>
            <w:r w:rsidRPr="00983855">
              <w:rPr>
                <w:rFonts w:hint="eastAsia"/>
              </w:rPr>
              <w:t>65,734</w:t>
            </w:r>
          </w:p>
        </w:tc>
        <w:tc>
          <w:tcPr>
            <w:tcW w:w="1840" w:type="dxa"/>
          </w:tcPr>
          <w:p w14:paraId="702F75AB" w14:textId="77777777" w:rsidR="00316398" w:rsidRPr="00983855" w:rsidRDefault="00316398" w:rsidP="009F57E0">
            <w:pPr>
              <w:spacing w:line="360" w:lineRule="auto"/>
              <w:jc w:val="center"/>
            </w:pPr>
            <w:r w:rsidRPr="00983855">
              <w:rPr>
                <w:rFonts w:hint="eastAsia"/>
              </w:rPr>
              <w:t>87,289</w:t>
            </w:r>
          </w:p>
        </w:tc>
      </w:tr>
      <w:tr w:rsidR="00316398" w:rsidRPr="00983855" w14:paraId="2D484BF8" w14:textId="77777777" w:rsidTr="00983855">
        <w:trPr>
          <w:jc w:val="center"/>
        </w:trPr>
        <w:tc>
          <w:tcPr>
            <w:tcW w:w="3860" w:type="dxa"/>
          </w:tcPr>
          <w:p w14:paraId="1E0C58E6" w14:textId="6E50017D" w:rsidR="00316398" w:rsidRPr="00983855" w:rsidRDefault="00316398" w:rsidP="00695FED">
            <w:pPr>
              <w:spacing w:line="360" w:lineRule="auto"/>
            </w:pPr>
            <w:r w:rsidRPr="00983855">
              <w:lastRenderedPageBreak/>
              <w:t xml:space="preserve">Annual direct </w:t>
            </w:r>
            <w:r w:rsidR="00695FED" w:rsidRPr="00983855">
              <w:t xml:space="preserve">medical </w:t>
            </w:r>
            <w:r w:rsidRPr="00983855">
              <w:rPr>
                <w:rFonts w:hint="eastAsia"/>
              </w:rPr>
              <w:t xml:space="preserve">costs of </w:t>
            </w:r>
            <w:r w:rsidRPr="00983855">
              <w:t xml:space="preserve">hypertension </w:t>
            </w:r>
            <w:r w:rsidR="00695FED" w:rsidRPr="00983855">
              <w:t xml:space="preserve">among </w:t>
            </w:r>
            <w:r w:rsidRPr="00983855">
              <w:t>rural residents</w:t>
            </w:r>
          </w:p>
        </w:tc>
        <w:tc>
          <w:tcPr>
            <w:tcW w:w="1490" w:type="dxa"/>
          </w:tcPr>
          <w:p w14:paraId="5ABB2EA5" w14:textId="77777777" w:rsidR="00316398" w:rsidRPr="00983855" w:rsidRDefault="00316398" w:rsidP="009F57E0">
            <w:pPr>
              <w:spacing w:line="360" w:lineRule="auto"/>
              <w:jc w:val="center"/>
            </w:pPr>
            <w:r w:rsidRPr="00983855">
              <w:rPr>
                <w:rFonts w:hint="eastAsia"/>
              </w:rPr>
              <w:t>914</w:t>
            </w:r>
          </w:p>
        </w:tc>
        <w:tc>
          <w:tcPr>
            <w:tcW w:w="1624" w:type="dxa"/>
          </w:tcPr>
          <w:p w14:paraId="59F94788" w14:textId="77777777" w:rsidR="00316398" w:rsidRPr="00983855" w:rsidRDefault="00316398" w:rsidP="009F57E0">
            <w:pPr>
              <w:spacing w:line="360" w:lineRule="auto"/>
              <w:jc w:val="center"/>
            </w:pPr>
            <w:r w:rsidRPr="00983855">
              <w:rPr>
                <w:rFonts w:hint="eastAsia"/>
              </w:rPr>
              <w:t>904</w:t>
            </w:r>
          </w:p>
        </w:tc>
        <w:tc>
          <w:tcPr>
            <w:tcW w:w="1529" w:type="dxa"/>
          </w:tcPr>
          <w:p w14:paraId="4B3A1335" w14:textId="77777777" w:rsidR="00316398" w:rsidRPr="00983855" w:rsidRDefault="00316398" w:rsidP="009F57E0">
            <w:pPr>
              <w:spacing w:line="360" w:lineRule="auto"/>
              <w:jc w:val="center"/>
            </w:pPr>
            <w:r w:rsidRPr="00983855">
              <w:rPr>
                <w:rFonts w:hint="eastAsia"/>
              </w:rPr>
              <w:t>0.01</w:t>
            </w:r>
          </w:p>
        </w:tc>
        <w:tc>
          <w:tcPr>
            <w:tcW w:w="1567" w:type="dxa"/>
          </w:tcPr>
          <w:p w14:paraId="0DFFBA30" w14:textId="77777777" w:rsidR="00316398" w:rsidRPr="00983855" w:rsidRDefault="00316398" w:rsidP="009F57E0">
            <w:pPr>
              <w:spacing w:line="360" w:lineRule="auto"/>
              <w:jc w:val="center"/>
            </w:pPr>
            <w:r w:rsidRPr="00983855">
              <w:rPr>
                <w:rFonts w:hint="eastAsia"/>
              </w:rPr>
              <w:t>0.01</w:t>
            </w:r>
          </w:p>
        </w:tc>
        <w:tc>
          <w:tcPr>
            <w:tcW w:w="1670" w:type="dxa"/>
          </w:tcPr>
          <w:p w14:paraId="2696866D" w14:textId="77777777" w:rsidR="00316398" w:rsidRPr="00983855" w:rsidRDefault="00316398" w:rsidP="009F57E0">
            <w:pPr>
              <w:spacing w:line="360" w:lineRule="auto"/>
              <w:jc w:val="center"/>
            </w:pPr>
            <w:r w:rsidRPr="00983855">
              <w:rPr>
                <w:rFonts w:hint="eastAsia"/>
              </w:rPr>
              <w:t>75,419</w:t>
            </w:r>
          </w:p>
        </w:tc>
        <w:tc>
          <w:tcPr>
            <w:tcW w:w="1840" w:type="dxa"/>
          </w:tcPr>
          <w:p w14:paraId="77AFC5E8" w14:textId="77777777" w:rsidR="00316398" w:rsidRPr="00983855" w:rsidRDefault="00316398" w:rsidP="009F57E0">
            <w:pPr>
              <w:spacing w:line="360" w:lineRule="auto"/>
              <w:jc w:val="center"/>
            </w:pPr>
            <w:r w:rsidRPr="00983855">
              <w:rPr>
                <w:rFonts w:hint="eastAsia"/>
              </w:rPr>
              <w:t>74,565</w:t>
            </w:r>
          </w:p>
        </w:tc>
      </w:tr>
      <w:tr w:rsidR="00316398" w:rsidRPr="00983855" w14:paraId="04F590FB" w14:textId="77777777" w:rsidTr="00983855">
        <w:trPr>
          <w:jc w:val="center"/>
        </w:trPr>
        <w:tc>
          <w:tcPr>
            <w:tcW w:w="3860" w:type="dxa"/>
          </w:tcPr>
          <w:p w14:paraId="49973825" w14:textId="77777777" w:rsidR="00316398" w:rsidRPr="00983855" w:rsidRDefault="00316398" w:rsidP="009F57E0">
            <w:pPr>
              <w:spacing w:line="360" w:lineRule="auto"/>
            </w:pPr>
            <w:r w:rsidRPr="00983855">
              <w:rPr>
                <w:rFonts w:eastAsia="Times New Roman" w:cs="Times New Roman"/>
              </w:rPr>
              <w:t>Increase in hours of working in agriculture per year, hour</w:t>
            </w:r>
          </w:p>
        </w:tc>
        <w:tc>
          <w:tcPr>
            <w:tcW w:w="1490" w:type="dxa"/>
          </w:tcPr>
          <w:p w14:paraId="4951AF1E" w14:textId="77777777" w:rsidR="00316398" w:rsidRPr="00983855" w:rsidRDefault="00316398" w:rsidP="009F57E0">
            <w:pPr>
              <w:spacing w:line="360" w:lineRule="auto"/>
              <w:jc w:val="center"/>
            </w:pPr>
          </w:p>
        </w:tc>
        <w:tc>
          <w:tcPr>
            <w:tcW w:w="1624" w:type="dxa"/>
          </w:tcPr>
          <w:p w14:paraId="5DB7FD45" w14:textId="77777777" w:rsidR="00316398" w:rsidRPr="00983855" w:rsidRDefault="00316398" w:rsidP="009F57E0">
            <w:pPr>
              <w:spacing w:line="360" w:lineRule="auto"/>
              <w:jc w:val="center"/>
            </w:pPr>
          </w:p>
        </w:tc>
        <w:tc>
          <w:tcPr>
            <w:tcW w:w="1529" w:type="dxa"/>
          </w:tcPr>
          <w:p w14:paraId="767C2511" w14:textId="77777777" w:rsidR="00316398" w:rsidRPr="00983855" w:rsidRDefault="00316398" w:rsidP="009F57E0">
            <w:pPr>
              <w:spacing w:line="360" w:lineRule="auto"/>
              <w:jc w:val="center"/>
            </w:pPr>
          </w:p>
        </w:tc>
        <w:tc>
          <w:tcPr>
            <w:tcW w:w="1567" w:type="dxa"/>
          </w:tcPr>
          <w:p w14:paraId="13A6F7B0" w14:textId="77777777" w:rsidR="00316398" w:rsidRPr="00983855" w:rsidRDefault="00316398" w:rsidP="009F57E0">
            <w:pPr>
              <w:spacing w:line="360" w:lineRule="auto"/>
              <w:jc w:val="center"/>
            </w:pPr>
          </w:p>
        </w:tc>
        <w:tc>
          <w:tcPr>
            <w:tcW w:w="1670" w:type="dxa"/>
          </w:tcPr>
          <w:p w14:paraId="0778CDD1" w14:textId="77777777" w:rsidR="00316398" w:rsidRPr="00983855" w:rsidRDefault="00316398" w:rsidP="009F57E0">
            <w:pPr>
              <w:spacing w:line="360" w:lineRule="auto"/>
              <w:jc w:val="center"/>
            </w:pPr>
          </w:p>
        </w:tc>
        <w:tc>
          <w:tcPr>
            <w:tcW w:w="1840" w:type="dxa"/>
          </w:tcPr>
          <w:p w14:paraId="407C8B37" w14:textId="77777777" w:rsidR="00316398" w:rsidRPr="00983855" w:rsidRDefault="00316398" w:rsidP="009F57E0">
            <w:pPr>
              <w:spacing w:line="360" w:lineRule="auto"/>
              <w:jc w:val="center"/>
            </w:pPr>
          </w:p>
        </w:tc>
      </w:tr>
      <w:tr w:rsidR="00316398" w:rsidRPr="00983855" w14:paraId="37C01A78" w14:textId="77777777" w:rsidTr="00983855">
        <w:trPr>
          <w:jc w:val="center"/>
        </w:trPr>
        <w:tc>
          <w:tcPr>
            <w:tcW w:w="3860" w:type="dxa"/>
          </w:tcPr>
          <w:p w14:paraId="5BC7920C" w14:textId="77777777" w:rsidR="00316398" w:rsidRPr="00983855" w:rsidRDefault="00316398" w:rsidP="009F57E0">
            <w:pPr>
              <w:spacing w:line="360" w:lineRule="auto"/>
              <w:ind w:left="720"/>
            </w:pPr>
            <w:r w:rsidRPr="00983855">
              <w:rPr>
                <w:rFonts w:eastAsia="Times New Roman" w:cs="Times New Roman"/>
              </w:rPr>
              <w:t>Aged 30-49 years</w:t>
            </w:r>
          </w:p>
        </w:tc>
        <w:tc>
          <w:tcPr>
            <w:tcW w:w="1490" w:type="dxa"/>
          </w:tcPr>
          <w:p w14:paraId="123ABE4A" w14:textId="77777777" w:rsidR="00316398" w:rsidRPr="00983855" w:rsidRDefault="00316398" w:rsidP="009F57E0">
            <w:pPr>
              <w:spacing w:line="360" w:lineRule="auto"/>
              <w:jc w:val="center"/>
            </w:pPr>
            <w:r w:rsidRPr="00983855">
              <w:rPr>
                <w:rFonts w:hint="eastAsia"/>
              </w:rPr>
              <w:t>912</w:t>
            </w:r>
          </w:p>
        </w:tc>
        <w:tc>
          <w:tcPr>
            <w:tcW w:w="1624" w:type="dxa"/>
          </w:tcPr>
          <w:p w14:paraId="72A2CDE2" w14:textId="77777777" w:rsidR="00316398" w:rsidRPr="00983855" w:rsidRDefault="00316398" w:rsidP="009F57E0">
            <w:pPr>
              <w:spacing w:line="360" w:lineRule="auto"/>
              <w:jc w:val="center"/>
            </w:pPr>
            <w:r w:rsidRPr="00983855">
              <w:rPr>
                <w:rFonts w:hint="eastAsia"/>
              </w:rPr>
              <w:t>906</w:t>
            </w:r>
          </w:p>
        </w:tc>
        <w:tc>
          <w:tcPr>
            <w:tcW w:w="1529" w:type="dxa"/>
          </w:tcPr>
          <w:p w14:paraId="6AC14F5C" w14:textId="77777777" w:rsidR="00316398" w:rsidRPr="00983855" w:rsidRDefault="00316398" w:rsidP="009F57E0">
            <w:pPr>
              <w:spacing w:line="360" w:lineRule="auto"/>
              <w:jc w:val="center"/>
            </w:pPr>
            <w:r w:rsidRPr="00983855">
              <w:rPr>
                <w:rFonts w:hint="eastAsia"/>
              </w:rPr>
              <w:t>0.01</w:t>
            </w:r>
          </w:p>
        </w:tc>
        <w:tc>
          <w:tcPr>
            <w:tcW w:w="1567" w:type="dxa"/>
          </w:tcPr>
          <w:p w14:paraId="150E6ACB" w14:textId="77777777" w:rsidR="00316398" w:rsidRPr="00983855" w:rsidRDefault="00316398" w:rsidP="009F57E0">
            <w:pPr>
              <w:spacing w:line="360" w:lineRule="auto"/>
              <w:jc w:val="center"/>
            </w:pPr>
            <w:r w:rsidRPr="00983855">
              <w:rPr>
                <w:rFonts w:hint="eastAsia"/>
              </w:rPr>
              <w:t>0.01</w:t>
            </w:r>
          </w:p>
        </w:tc>
        <w:tc>
          <w:tcPr>
            <w:tcW w:w="1670" w:type="dxa"/>
          </w:tcPr>
          <w:p w14:paraId="6523B693" w14:textId="77777777" w:rsidR="00316398" w:rsidRPr="00983855" w:rsidRDefault="00316398" w:rsidP="009F57E0">
            <w:pPr>
              <w:spacing w:line="360" w:lineRule="auto"/>
              <w:jc w:val="center"/>
            </w:pPr>
            <w:r w:rsidRPr="00983855">
              <w:rPr>
                <w:rFonts w:hint="eastAsia"/>
              </w:rPr>
              <w:t>75,244</w:t>
            </w:r>
          </w:p>
        </w:tc>
        <w:tc>
          <w:tcPr>
            <w:tcW w:w="1840" w:type="dxa"/>
          </w:tcPr>
          <w:p w14:paraId="26201486" w14:textId="77777777" w:rsidR="00316398" w:rsidRPr="00983855" w:rsidRDefault="00316398" w:rsidP="009F57E0">
            <w:pPr>
              <w:spacing w:line="360" w:lineRule="auto"/>
              <w:jc w:val="center"/>
            </w:pPr>
            <w:r w:rsidRPr="00983855">
              <w:rPr>
                <w:rFonts w:hint="eastAsia"/>
              </w:rPr>
              <w:t>74,719</w:t>
            </w:r>
          </w:p>
        </w:tc>
      </w:tr>
      <w:tr w:rsidR="00316398" w:rsidRPr="00983855" w14:paraId="474B9CF7" w14:textId="77777777" w:rsidTr="00983855">
        <w:trPr>
          <w:trHeight w:val="423"/>
          <w:jc w:val="center"/>
        </w:trPr>
        <w:tc>
          <w:tcPr>
            <w:tcW w:w="3860" w:type="dxa"/>
          </w:tcPr>
          <w:p w14:paraId="5FC43380" w14:textId="77777777" w:rsidR="00316398" w:rsidRPr="00983855" w:rsidRDefault="00316398" w:rsidP="009F57E0">
            <w:pPr>
              <w:spacing w:line="360" w:lineRule="auto"/>
              <w:ind w:left="720"/>
            </w:pPr>
            <w:r w:rsidRPr="00983855">
              <w:rPr>
                <w:rFonts w:eastAsia="Times New Roman" w:cs="Times New Roman"/>
              </w:rPr>
              <w:t>Aged 50 years</w:t>
            </w:r>
            <w:r w:rsidRPr="00983855">
              <w:rPr>
                <w:rFonts w:eastAsia="Times New Roman" w:cs="Times New Roman" w:hint="eastAsia"/>
              </w:rPr>
              <w:t xml:space="preserve"> </w:t>
            </w:r>
            <w:r w:rsidRPr="00983855">
              <w:rPr>
                <w:rFonts w:eastAsia="Times New Roman" w:cs="Times New Roman"/>
              </w:rPr>
              <w:t>and above</w:t>
            </w:r>
          </w:p>
        </w:tc>
        <w:tc>
          <w:tcPr>
            <w:tcW w:w="1490" w:type="dxa"/>
          </w:tcPr>
          <w:p w14:paraId="04F8A167" w14:textId="77777777" w:rsidR="00316398" w:rsidRPr="00983855" w:rsidRDefault="00316398" w:rsidP="009F57E0">
            <w:pPr>
              <w:spacing w:line="360" w:lineRule="auto"/>
              <w:jc w:val="center"/>
            </w:pPr>
            <w:r w:rsidRPr="00983855">
              <w:rPr>
                <w:rFonts w:hint="eastAsia"/>
              </w:rPr>
              <w:t>911</w:t>
            </w:r>
          </w:p>
        </w:tc>
        <w:tc>
          <w:tcPr>
            <w:tcW w:w="1624" w:type="dxa"/>
          </w:tcPr>
          <w:p w14:paraId="51548F1C" w14:textId="77777777" w:rsidR="00316398" w:rsidRPr="00983855" w:rsidRDefault="00316398" w:rsidP="009F57E0">
            <w:pPr>
              <w:spacing w:line="360" w:lineRule="auto"/>
              <w:jc w:val="center"/>
            </w:pPr>
            <w:r w:rsidRPr="00983855">
              <w:rPr>
                <w:rFonts w:hint="eastAsia"/>
              </w:rPr>
              <w:t>907</w:t>
            </w:r>
          </w:p>
        </w:tc>
        <w:tc>
          <w:tcPr>
            <w:tcW w:w="1529" w:type="dxa"/>
          </w:tcPr>
          <w:p w14:paraId="340302D5" w14:textId="77777777" w:rsidR="00316398" w:rsidRPr="00983855" w:rsidRDefault="00316398" w:rsidP="009F57E0">
            <w:pPr>
              <w:spacing w:line="360" w:lineRule="auto"/>
              <w:jc w:val="center"/>
            </w:pPr>
            <w:r w:rsidRPr="00983855">
              <w:rPr>
                <w:rFonts w:hint="eastAsia"/>
              </w:rPr>
              <w:t>0.01</w:t>
            </w:r>
          </w:p>
        </w:tc>
        <w:tc>
          <w:tcPr>
            <w:tcW w:w="1567" w:type="dxa"/>
          </w:tcPr>
          <w:p w14:paraId="7290812A" w14:textId="77777777" w:rsidR="00316398" w:rsidRPr="00983855" w:rsidRDefault="00316398" w:rsidP="009F57E0">
            <w:pPr>
              <w:spacing w:line="360" w:lineRule="auto"/>
              <w:jc w:val="center"/>
            </w:pPr>
            <w:r w:rsidRPr="00983855">
              <w:rPr>
                <w:rFonts w:hint="eastAsia"/>
              </w:rPr>
              <w:t>0.01</w:t>
            </w:r>
          </w:p>
        </w:tc>
        <w:tc>
          <w:tcPr>
            <w:tcW w:w="1670" w:type="dxa"/>
          </w:tcPr>
          <w:p w14:paraId="2CB815A8" w14:textId="77777777" w:rsidR="00316398" w:rsidRPr="00983855" w:rsidRDefault="00316398" w:rsidP="009F57E0">
            <w:pPr>
              <w:spacing w:line="360" w:lineRule="auto"/>
              <w:jc w:val="center"/>
            </w:pPr>
            <w:r w:rsidRPr="00983855">
              <w:rPr>
                <w:rFonts w:hint="eastAsia"/>
              </w:rPr>
              <w:t>75,133</w:t>
            </w:r>
          </w:p>
        </w:tc>
        <w:tc>
          <w:tcPr>
            <w:tcW w:w="1840" w:type="dxa"/>
          </w:tcPr>
          <w:p w14:paraId="2D238900" w14:textId="77777777" w:rsidR="00316398" w:rsidRPr="00983855" w:rsidRDefault="00316398" w:rsidP="009F57E0">
            <w:pPr>
              <w:spacing w:line="360" w:lineRule="auto"/>
              <w:jc w:val="center"/>
            </w:pPr>
            <w:r w:rsidRPr="00983855">
              <w:rPr>
                <w:rFonts w:hint="eastAsia"/>
              </w:rPr>
              <w:t>74,845</w:t>
            </w:r>
          </w:p>
        </w:tc>
      </w:tr>
      <w:tr w:rsidR="00316398" w:rsidRPr="00983855" w14:paraId="79E44119" w14:textId="77777777" w:rsidTr="00983855">
        <w:trPr>
          <w:jc w:val="center"/>
        </w:trPr>
        <w:tc>
          <w:tcPr>
            <w:tcW w:w="3860" w:type="dxa"/>
            <w:tcBorders>
              <w:bottom w:val="single" w:sz="18" w:space="0" w:color="000000"/>
            </w:tcBorders>
          </w:tcPr>
          <w:p w14:paraId="3AD19303" w14:textId="77777777" w:rsidR="00316398" w:rsidRPr="00983855" w:rsidRDefault="00316398" w:rsidP="009F57E0">
            <w:pPr>
              <w:spacing w:line="360" w:lineRule="auto"/>
            </w:pPr>
            <w:r w:rsidRPr="00983855">
              <w:rPr>
                <w:rFonts w:hint="eastAsia"/>
              </w:rPr>
              <w:t xml:space="preserve">Hourly income in agriculture </w:t>
            </w:r>
          </w:p>
        </w:tc>
        <w:tc>
          <w:tcPr>
            <w:tcW w:w="1490" w:type="dxa"/>
            <w:tcBorders>
              <w:bottom w:val="single" w:sz="18" w:space="0" w:color="000000"/>
            </w:tcBorders>
          </w:tcPr>
          <w:p w14:paraId="1501A76B" w14:textId="77777777" w:rsidR="00316398" w:rsidRPr="00983855" w:rsidRDefault="00316398" w:rsidP="009F57E0">
            <w:pPr>
              <w:spacing w:line="360" w:lineRule="auto"/>
              <w:jc w:val="center"/>
            </w:pPr>
            <w:r w:rsidRPr="00983855">
              <w:rPr>
                <w:rFonts w:hint="eastAsia"/>
              </w:rPr>
              <w:t>924</w:t>
            </w:r>
          </w:p>
        </w:tc>
        <w:tc>
          <w:tcPr>
            <w:tcW w:w="1624" w:type="dxa"/>
            <w:tcBorders>
              <w:bottom w:val="single" w:sz="18" w:space="0" w:color="000000"/>
            </w:tcBorders>
          </w:tcPr>
          <w:p w14:paraId="7B8078BA" w14:textId="77777777" w:rsidR="00316398" w:rsidRPr="00983855" w:rsidRDefault="00316398" w:rsidP="009F57E0">
            <w:pPr>
              <w:spacing w:line="360" w:lineRule="auto"/>
              <w:jc w:val="center"/>
            </w:pPr>
            <w:r w:rsidRPr="00983855">
              <w:rPr>
                <w:rFonts w:hint="eastAsia"/>
              </w:rPr>
              <w:t>893</w:t>
            </w:r>
          </w:p>
        </w:tc>
        <w:tc>
          <w:tcPr>
            <w:tcW w:w="1529" w:type="dxa"/>
            <w:tcBorders>
              <w:bottom w:val="single" w:sz="18" w:space="0" w:color="000000"/>
            </w:tcBorders>
          </w:tcPr>
          <w:p w14:paraId="0AA47501" w14:textId="77777777" w:rsidR="00316398" w:rsidRPr="00983855" w:rsidRDefault="00316398" w:rsidP="009F57E0">
            <w:pPr>
              <w:spacing w:line="360" w:lineRule="auto"/>
              <w:jc w:val="center"/>
            </w:pPr>
            <w:r w:rsidRPr="00983855">
              <w:rPr>
                <w:rFonts w:hint="eastAsia"/>
              </w:rPr>
              <w:t>0.01</w:t>
            </w:r>
          </w:p>
        </w:tc>
        <w:tc>
          <w:tcPr>
            <w:tcW w:w="1567" w:type="dxa"/>
            <w:tcBorders>
              <w:bottom w:val="single" w:sz="18" w:space="0" w:color="000000"/>
            </w:tcBorders>
          </w:tcPr>
          <w:p w14:paraId="62295D89" w14:textId="77777777" w:rsidR="00316398" w:rsidRPr="00983855" w:rsidRDefault="00316398" w:rsidP="009F57E0">
            <w:pPr>
              <w:spacing w:line="360" w:lineRule="auto"/>
              <w:jc w:val="center"/>
            </w:pPr>
            <w:r w:rsidRPr="00983855">
              <w:rPr>
                <w:rFonts w:hint="eastAsia"/>
              </w:rPr>
              <w:t>0.01</w:t>
            </w:r>
          </w:p>
        </w:tc>
        <w:tc>
          <w:tcPr>
            <w:tcW w:w="1670" w:type="dxa"/>
            <w:tcBorders>
              <w:bottom w:val="single" w:sz="18" w:space="0" w:color="000000"/>
            </w:tcBorders>
          </w:tcPr>
          <w:p w14:paraId="67F6371F" w14:textId="77777777" w:rsidR="00316398" w:rsidRPr="00983855" w:rsidRDefault="00316398" w:rsidP="009F57E0">
            <w:pPr>
              <w:spacing w:line="360" w:lineRule="auto"/>
              <w:jc w:val="center"/>
            </w:pPr>
            <w:r w:rsidRPr="00983855">
              <w:rPr>
                <w:rFonts w:hint="eastAsia"/>
              </w:rPr>
              <w:t>76,225</w:t>
            </w:r>
          </w:p>
        </w:tc>
        <w:tc>
          <w:tcPr>
            <w:tcW w:w="1840" w:type="dxa"/>
            <w:tcBorders>
              <w:bottom w:val="single" w:sz="18" w:space="0" w:color="000000"/>
            </w:tcBorders>
          </w:tcPr>
          <w:p w14:paraId="6BAD7EBE" w14:textId="77777777" w:rsidR="00316398" w:rsidRPr="00983855" w:rsidRDefault="00316398" w:rsidP="009F57E0">
            <w:pPr>
              <w:spacing w:line="360" w:lineRule="auto"/>
              <w:jc w:val="center"/>
            </w:pPr>
            <w:r w:rsidRPr="00983855">
              <w:rPr>
                <w:rFonts w:hint="eastAsia"/>
              </w:rPr>
              <w:t>73,690</w:t>
            </w:r>
          </w:p>
        </w:tc>
      </w:tr>
    </w:tbl>
    <w:p w14:paraId="4CC7982F" w14:textId="2CB26082" w:rsidR="00170CFB" w:rsidRPr="00983855" w:rsidRDefault="00170CFB" w:rsidP="00983855">
      <w:pPr>
        <w:rPr>
          <w:b/>
        </w:rPr>
      </w:pPr>
    </w:p>
    <w:p w14:paraId="20262203" w14:textId="4F7AB579" w:rsidR="00170CFB" w:rsidRPr="00983855" w:rsidRDefault="00756C02">
      <w:pPr>
        <w:pStyle w:val="Heading1"/>
        <w:spacing w:line="480" w:lineRule="auto"/>
        <w:rPr>
          <w:rFonts w:ascii="Cambria" w:eastAsia="Cambria" w:hAnsi="Cambria" w:cs="Cambria"/>
          <w:b/>
          <w:sz w:val="24"/>
          <w:szCs w:val="24"/>
        </w:rPr>
      </w:pPr>
      <w:bookmarkStart w:id="13" w:name="_Toc515773214"/>
      <w:r w:rsidRPr="00C60E59">
        <w:rPr>
          <w:rFonts w:ascii="Cambria" w:eastAsia="Cambria" w:hAnsi="Cambria" w:cs="Cambria" w:hint="eastAsia"/>
          <w:b/>
          <w:sz w:val="24"/>
          <w:szCs w:val="24"/>
          <w:lang w:eastAsia="zh-CN"/>
        </w:rPr>
        <w:t>7</w:t>
      </w:r>
      <w:r w:rsidR="000C6D32" w:rsidRPr="00C60E59">
        <w:rPr>
          <w:rFonts w:ascii="Cambria" w:eastAsia="Cambria" w:hAnsi="Cambria" w:cs="Cambria"/>
          <w:b/>
          <w:sz w:val="24"/>
          <w:szCs w:val="24"/>
        </w:rPr>
        <w:t>.</w:t>
      </w:r>
      <w:r w:rsidRPr="00C60E59">
        <w:rPr>
          <w:rFonts w:ascii="Cambria" w:eastAsia="Cambria" w:hAnsi="Cambria" w:cs="Cambria" w:hint="eastAsia"/>
          <w:b/>
          <w:sz w:val="24"/>
          <w:szCs w:val="24"/>
          <w:lang w:eastAsia="zh-CN"/>
        </w:rPr>
        <w:t xml:space="preserve"> </w:t>
      </w:r>
      <w:r w:rsidR="000C6D32" w:rsidRPr="00C60E59">
        <w:rPr>
          <w:rFonts w:ascii="Cambria" w:eastAsia="Cambria" w:hAnsi="Cambria" w:cs="Cambria"/>
          <w:b/>
          <w:sz w:val="24"/>
          <w:szCs w:val="24"/>
        </w:rPr>
        <w:t>Reference</w:t>
      </w:r>
      <w:bookmarkEnd w:id="13"/>
      <w:r w:rsidR="000C6D32" w:rsidRPr="00983855">
        <w:rPr>
          <w:rFonts w:ascii="Cambria" w:eastAsia="Cambria" w:hAnsi="Cambria" w:cs="Cambria"/>
          <w:b/>
          <w:sz w:val="24"/>
          <w:szCs w:val="24"/>
        </w:rPr>
        <w:t xml:space="preserve">                                    </w:t>
      </w:r>
    </w:p>
    <w:p w14:paraId="3E8D03B3" w14:textId="77777777" w:rsidR="009A3206" w:rsidRPr="006B1274" w:rsidRDefault="009A3206" w:rsidP="009A3206">
      <w:pPr>
        <w:spacing w:line="480" w:lineRule="auto"/>
        <w:rPr>
          <w:rFonts w:asciiTheme="minorHAnsi" w:hAnsiTheme="minorHAnsi"/>
          <w:lang w:eastAsia="zh-CN"/>
        </w:rPr>
      </w:pPr>
      <w:r w:rsidRPr="006B1274">
        <w:rPr>
          <w:rFonts w:asciiTheme="minorHAnsi" w:hAnsiTheme="minorHAnsi" w:hint="eastAsia"/>
          <w:lang w:eastAsia="zh-CN"/>
        </w:rPr>
        <w:t xml:space="preserve">1. </w:t>
      </w:r>
      <w:r w:rsidRPr="006B1274">
        <w:rPr>
          <w:rFonts w:asciiTheme="minorHAnsi" w:hAnsiTheme="minorHAnsi"/>
          <w:lang w:eastAsia="zh-CN"/>
        </w:rPr>
        <w:t>World Health Organization</w:t>
      </w:r>
      <w:r w:rsidRPr="006B1274">
        <w:rPr>
          <w:rFonts w:asciiTheme="minorHAnsi" w:hAnsiTheme="minorHAnsi" w:hint="eastAsia"/>
          <w:lang w:eastAsia="zh-CN"/>
        </w:rPr>
        <w:t xml:space="preserve"> (WHO)</w:t>
      </w:r>
      <w:r w:rsidRPr="006B1274">
        <w:rPr>
          <w:rFonts w:asciiTheme="minorHAnsi" w:hAnsiTheme="minorHAnsi"/>
          <w:lang w:eastAsia="zh-CN"/>
        </w:rPr>
        <w:t xml:space="preserve">. Life tables by country China. 2015. Available from: </w:t>
      </w:r>
      <w:hyperlink r:id="rId10" w:history="1">
        <w:r w:rsidRPr="006B1274">
          <w:rPr>
            <w:rFonts w:asciiTheme="minorHAnsi" w:hAnsiTheme="minorHAnsi"/>
            <w:lang w:eastAsia="zh-CN"/>
          </w:rPr>
          <w:t>http://apps.who.int/gho/data/view.main.60340?lang=en</w:t>
        </w:r>
      </w:hyperlink>
      <w:r w:rsidRPr="006B1274">
        <w:rPr>
          <w:rFonts w:asciiTheme="minorHAnsi" w:hAnsiTheme="minorHAnsi"/>
          <w:lang w:eastAsia="zh-CN"/>
        </w:rPr>
        <w:t>.</w:t>
      </w:r>
    </w:p>
    <w:p w14:paraId="42D3D0AE" w14:textId="77777777" w:rsidR="009A3206" w:rsidRPr="00983855" w:rsidRDefault="009A3206" w:rsidP="009A3206">
      <w:pPr>
        <w:spacing w:line="480" w:lineRule="auto"/>
        <w:rPr>
          <w:lang w:eastAsia="zh-CN"/>
        </w:rPr>
      </w:pPr>
      <w:r>
        <w:rPr>
          <w:rFonts w:hint="eastAsia"/>
          <w:lang w:eastAsia="zh-CN"/>
        </w:rPr>
        <w:t xml:space="preserve">2. </w:t>
      </w:r>
      <w:r w:rsidRPr="006B1274">
        <w:rPr>
          <w:rFonts w:asciiTheme="minorHAnsi" w:hAnsiTheme="minorHAnsi" w:hint="eastAsia"/>
          <w:lang w:eastAsia="zh-CN"/>
        </w:rPr>
        <w:t xml:space="preserve">China National Bureau of </w:t>
      </w:r>
      <w:r w:rsidRPr="006B1274">
        <w:rPr>
          <w:rFonts w:asciiTheme="minorHAnsi" w:hAnsiTheme="minorHAnsi"/>
          <w:lang w:eastAsia="zh-CN"/>
        </w:rPr>
        <w:t>Statistics</w:t>
      </w:r>
      <w:r>
        <w:rPr>
          <w:rFonts w:hint="eastAsia"/>
          <w:lang w:eastAsia="zh-CN"/>
        </w:rPr>
        <w:t xml:space="preserve"> (CNBS)</w:t>
      </w:r>
      <w:r w:rsidRPr="00983855">
        <w:rPr>
          <w:lang w:eastAsia="zh-CN"/>
        </w:rPr>
        <w:t xml:space="preserve">. </w:t>
      </w:r>
      <w:r w:rsidRPr="00AE7389">
        <w:rPr>
          <w:lang w:eastAsia="zh-CN"/>
        </w:rPr>
        <w:t>China Population and Employment Statistics Yearbook</w:t>
      </w:r>
      <w:r w:rsidRPr="006B1274">
        <w:rPr>
          <w:lang w:eastAsia="zh-CN"/>
        </w:rPr>
        <w:t xml:space="preserve"> </w:t>
      </w:r>
      <w:r w:rsidRPr="00983855">
        <w:rPr>
          <w:lang w:eastAsia="zh-CN"/>
        </w:rPr>
        <w:t>Beijing: China Statistics Press, 2014.</w:t>
      </w:r>
    </w:p>
    <w:p w14:paraId="52F97734" w14:textId="77777777" w:rsidR="009A3206" w:rsidRPr="00983855" w:rsidRDefault="009A3206" w:rsidP="009A3206">
      <w:pPr>
        <w:spacing w:line="480" w:lineRule="auto"/>
        <w:rPr>
          <w:lang w:eastAsia="zh-CN"/>
        </w:rPr>
      </w:pPr>
      <w:r>
        <w:rPr>
          <w:rFonts w:hint="eastAsia"/>
          <w:lang w:eastAsia="zh-CN"/>
        </w:rPr>
        <w:t xml:space="preserve">3. </w:t>
      </w:r>
      <w:r w:rsidRPr="00983855">
        <w:rPr>
          <w:lang w:eastAsia="zh-CN"/>
        </w:rPr>
        <w:t>Zhou M, Liu S, Bundorf K, Effleston K, Zhou S. Mortality in Rural China Declined as Health Insurance Coverage Increased, But No Evidence the Two are Linked. Health Affairs. 2017; 36(9): 1672-1678.</w:t>
      </w:r>
    </w:p>
    <w:p w14:paraId="475EF77B" w14:textId="77777777" w:rsidR="009A3206" w:rsidRPr="006B1274" w:rsidRDefault="009A3206" w:rsidP="009A3206">
      <w:pPr>
        <w:spacing w:line="480" w:lineRule="auto"/>
        <w:rPr>
          <w:rFonts w:asciiTheme="minorHAnsi" w:hAnsiTheme="minorHAnsi"/>
          <w:lang w:eastAsia="zh-CN"/>
        </w:rPr>
      </w:pPr>
      <w:r>
        <w:rPr>
          <w:rFonts w:hint="eastAsia"/>
          <w:lang w:eastAsia="zh-CN"/>
        </w:rPr>
        <w:lastRenderedPageBreak/>
        <w:t xml:space="preserve">4. </w:t>
      </w:r>
      <w:r w:rsidRPr="006B1274">
        <w:rPr>
          <w:rFonts w:asciiTheme="minorHAnsi" w:hAnsiTheme="minorHAnsi"/>
          <w:lang w:eastAsia="zh-CN"/>
        </w:rPr>
        <w:t>Gao Y, Chen G, Tian H, Lin L, Lu J, Weng J, et al. Prevalence of hypertension in China: a cross-sectional study. PLoS One. 2013;8(6):</w:t>
      </w:r>
      <w:r w:rsidRPr="006B1274">
        <w:rPr>
          <w:rFonts w:asciiTheme="minorHAnsi" w:hAnsiTheme="minorHAnsi" w:hint="eastAsia"/>
          <w:lang w:eastAsia="zh-CN"/>
        </w:rPr>
        <w:t xml:space="preserve"> </w:t>
      </w:r>
      <w:r w:rsidRPr="006B1274">
        <w:rPr>
          <w:rFonts w:asciiTheme="minorHAnsi" w:hAnsiTheme="minorHAnsi"/>
          <w:lang w:eastAsia="zh-CN"/>
        </w:rPr>
        <w:t>e65938.</w:t>
      </w:r>
    </w:p>
    <w:p w14:paraId="2149119D" w14:textId="77777777" w:rsidR="009A3206" w:rsidRDefault="009A3206" w:rsidP="009A3206">
      <w:pPr>
        <w:spacing w:line="480" w:lineRule="auto"/>
        <w:rPr>
          <w:lang w:eastAsia="zh-CN"/>
        </w:rPr>
      </w:pPr>
      <w:r>
        <w:rPr>
          <w:rFonts w:hint="eastAsia"/>
          <w:lang w:eastAsia="zh-CN"/>
        </w:rPr>
        <w:t xml:space="preserve">5. </w:t>
      </w:r>
      <w:r w:rsidRPr="006B1274">
        <w:rPr>
          <w:rFonts w:asciiTheme="minorHAnsi" w:hAnsiTheme="minorHAnsi"/>
          <w:lang w:eastAsia="zh-CN"/>
        </w:rPr>
        <w:t>Liang Y, Liu R, Du S, Qiu C. Trends in incidence of hypertensio</w:t>
      </w:r>
      <w:r>
        <w:rPr>
          <w:lang w:eastAsia="zh-CN"/>
        </w:rPr>
        <w:t xml:space="preserve">n in Chinese adults, 1991–2009: </w:t>
      </w:r>
      <w:r w:rsidRPr="006B1274">
        <w:rPr>
          <w:rFonts w:asciiTheme="minorHAnsi" w:hAnsiTheme="minorHAnsi"/>
          <w:lang w:eastAsia="zh-CN"/>
        </w:rPr>
        <w:t>the China Health and Nutrition Survey. Int J Cardiol. 2014;175(1):96-101.</w:t>
      </w:r>
    </w:p>
    <w:p w14:paraId="0B35650B" w14:textId="77777777" w:rsidR="009A3206" w:rsidRPr="006B1274" w:rsidRDefault="009A3206" w:rsidP="009A3206">
      <w:pPr>
        <w:spacing w:line="480" w:lineRule="auto"/>
        <w:rPr>
          <w:rFonts w:asciiTheme="minorHAnsi" w:hAnsiTheme="minorHAnsi"/>
          <w:lang w:eastAsia="zh-CN"/>
        </w:rPr>
      </w:pPr>
      <w:r>
        <w:rPr>
          <w:rFonts w:hint="eastAsia"/>
          <w:lang w:eastAsia="zh-CN"/>
        </w:rPr>
        <w:t xml:space="preserve">6. </w:t>
      </w:r>
      <w:r w:rsidRPr="006B1274">
        <w:rPr>
          <w:rFonts w:asciiTheme="minorHAnsi" w:hAnsiTheme="minorHAnsi"/>
          <w:lang w:eastAsia="zh-CN"/>
        </w:rPr>
        <w:t>Minister of Health of the People’s Republic of China</w:t>
      </w:r>
      <w:r w:rsidRPr="006B1274">
        <w:rPr>
          <w:rFonts w:asciiTheme="minorHAnsi" w:hAnsiTheme="minorHAnsi" w:hint="eastAsia"/>
          <w:lang w:eastAsia="zh-CN"/>
        </w:rPr>
        <w:t xml:space="preserve"> (CMOH)</w:t>
      </w:r>
      <w:r w:rsidRPr="006B1274">
        <w:rPr>
          <w:rFonts w:asciiTheme="minorHAnsi" w:hAnsiTheme="minorHAnsi"/>
          <w:lang w:eastAsia="zh-CN"/>
        </w:rPr>
        <w:t>. China Health Statistical Yearbook. Beijing: Peking Union Medical College; 2014.</w:t>
      </w:r>
    </w:p>
    <w:p w14:paraId="1A720288" w14:textId="7D362BD2" w:rsidR="009A3206" w:rsidRPr="00983855" w:rsidRDefault="009A3206" w:rsidP="009A3206">
      <w:pPr>
        <w:spacing w:line="480" w:lineRule="auto"/>
        <w:rPr>
          <w:lang w:eastAsia="zh-CN"/>
        </w:rPr>
      </w:pPr>
      <w:r w:rsidRPr="006B1274">
        <w:rPr>
          <w:rFonts w:asciiTheme="minorHAnsi" w:hAnsiTheme="minorHAnsi" w:hint="eastAsia"/>
          <w:lang w:eastAsia="zh-CN"/>
        </w:rPr>
        <w:t xml:space="preserve">7. </w:t>
      </w:r>
      <w:r w:rsidRPr="006B1274">
        <w:rPr>
          <w:rFonts w:asciiTheme="minorHAnsi" w:hAnsiTheme="minorHAnsi"/>
          <w:lang w:eastAsia="zh-CN"/>
        </w:rPr>
        <w:t xml:space="preserve">The World Bank Group. PPP conversion factor, GDP (LCU per international $). </w:t>
      </w:r>
      <w:hyperlink r:id="rId11" w:history="1">
        <w:r w:rsidRPr="006B1274">
          <w:rPr>
            <w:rFonts w:asciiTheme="minorHAnsi" w:hAnsiTheme="minorHAnsi"/>
            <w:color w:val="auto"/>
            <w:lang w:eastAsia="zh-CN"/>
          </w:rPr>
          <w:t>https://data.worldbank.org/indicator/PA.NUS.PPP</w:t>
        </w:r>
      </w:hyperlink>
      <w:r w:rsidRPr="006B1274">
        <w:rPr>
          <w:rFonts w:asciiTheme="minorHAnsi" w:hAnsiTheme="minorHAnsi"/>
          <w:lang w:eastAsia="zh-CN"/>
        </w:rPr>
        <w:t xml:space="preserve"> </w:t>
      </w:r>
      <w:r w:rsidRPr="00983855">
        <w:rPr>
          <w:lang w:eastAsia="zh-CN"/>
        </w:rPr>
        <w:t>(Accessed on 23 April 2018).</w:t>
      </w:r>
    </w:p>
    <w:p w14:paraId="22D7E357" w14:textId="77777777" w:rsidR="009A3206" w:rsidRDefault="009A3206" w:rsidP="009A3206">
      <w:pPr>
        <w:spacing w:line="480" w:lineRule="auto"/>
        <w:rPr>
          <w:lang w:eastAsia="zh-CN"/>
        </w:rPr>
      </w:pPr>
      <w:r>
        <w:rPr>
          <w:rFonts w:hint="eastAsia"/>
          <w:lang w:eastAsia="zh-CN"/>
        </w:rPr>
        <w:t xml:space="preserve">8. </w:t>
      </w:r>
      <w:r w:rsidRPr="00983855">
        <w:rPr>
          <w:lang w:eastAsia="zh-CN"/>
        </w:rPr>
        <w:t xml:space="preserve">The World Bank Group. Official exchange rate (LCU per US$, period average). </w:t>
      </w:r>
      <w:hyperlink r:id="rId12" w:history="1">
        <w:r w:rsidRPr="006B1274">
          <w:rPr>
            <w:color w:val="auto"/>
            <w:lang w:eastAsia="zh-CN"/>
          </w:rPr>
          <w:t>https://data.worldbank.org/indicator/PA.NUS.FCRF</w:t>
        </w:r>
      </w:hyperlink>
      <w:r w:rsidRPr="006B1274">
        <w:rPr>
          <w:rFonts w:hint="eastAsia"/>
          <w:color w:val="auto"/>
          <w:lang w:eastAsia="zh-CN"/>
        </w:rPr>
        <w:t xml:space="preserve"> </w:t>
      </w:r>
      <w:r w:rsidRPr="00983855">
        <w:rPr>
          <w:lang w:eastAsia="zh-CN"/>
        </w:rPr>
        <w:t>(Accessed on 23 April 2018).</w:t>
      </w:r>
    </w:p>
    <w:p w14:paraId="3EAC5D5F" w14:textId="3F88C68F" w:rsidR="009A3206" w:rsidRPr="009A3206" w:rsidRDefault="009A3206" w:rsidP="009A3206">
      <w:pPr>
        <w:spacing w:line="480" w:lineRule="auto"/>
        <w:rPr>
          <w:rFonts w:asciiTheme="minorHAnsi" w:hAnsiTheme="minorHAnsi"/>
          <w:lang w:eastAsia="zh-CN"/>
        </w:rPr>
      </w:pPr>
      <w:r w:rsidRPr="006B1274">
        <w:rPr>
          <w:rFonts w:asciiTheme="minorHAnsi" w:hAnsiTheme="minorHAnsi" w:hint="eastAsia"/>
          <w:lang w:eastAsia="zh-CN"/>
        </w:rPr>
        <w:t xml:space="preserve">9. </w:t>
      </w:r>
      <w:r w:rsidRPr="006B1274">
        <w:rPr>
          <w:rFonts w:asciiTheme="minorHAnsi" w:hAnsiTheme="minorHAnsi"/>
          <w:lang w:eastAsia="zh-CN"/>
        </w:rPr>
        <w:t>Shen Z, Parker M, Brown D, Fang X. Effects of public health insurance on labor supply in rural China. China Agricultural Economic Review. 2017;9(4):623-42.</w:t>
      </w:r>
    </w:p>
    <w:p w14:paraId="04DBD51F" w14:textId="03E3BA28" w:rsidR="00170CFB" w:rsidRDefault="009A3206" w:rsidP="00BF59B6">
      <w:pPr>
        <w:spacing w:line="480" w:lineRule="auto"/>
        <w:rPr>
          <w:lang w:eastAsia="zh-CN"/>
        </w:rPr>
      </w:pPr>
      <w:r>
        <w:rPr>
          <w:rFonts w:hint="eastAsia"/>
          <w:lang w:eastAsia="zh-CN"/>
        </w:rPr>
        <w:t xml:space="preserve">10. </w:t>
      </w:r>
      <w:r w:rsidRPr="006B1274">
        <w:rPr>
          <w:rFonts w:asciiTheme="minorHAnsi" w:hAnsiTheme="minorHAnsi" w:hint="eastAsia"/>
          <w:lang w:eastAsia="zh-CN"/>
        </w:rPr>
        <w:t xml:space="preserve">China National Bureau of </w:t>
      </w:r>
      <w:r w:rsidRPr="006B1274">
        <w:rPr>
          <w:rFonts w:asciiTheme="minorHAnsi" w:hAnsiTheme="minorHAnsi"/>
          <w:lang w:eastAsia="zh-CN"/>
        </w:rPr>
        <w:t>Statistics</w:t>
      </w:r>
      <w:r>
        <w:rPr>
          <w:rFonts w:hint="eastAsia"/>
          <w:lang w:eastAsia="zh-CN"/>
        </w:rPr>
        <w:t xml:space="preserve"> (CNBS)</w:t>
      </w:r>
      <w:r w:rsidRPr="006B1274">
        <w:rPr>
          <w:rFonts w:asciiTheme="minorHAnsi" w:hAnsiTheme="minorHAnsi"/>
          <w:lang w:eastAsia="zh-CN"/>
        </w:rPr>
        <w:t xml:space="preserve">. </w:t>
      </w:r>
      <w:r>
        <w:rPr>
          <w:rFonts w:hint="eastAsia"/>
          <w:lang w:eastAsia="zh-CN"/>
        </w:rPr>
        <w:t xml:space="preserve">2015 </w:t>
      </w:r>
      <w:r w:rsidRPr="006B1274">
        <w:rPr>
          <w:rFonts w:asciiTheme="minorHAnsi" w:hAnsiTheme="minorHAnsi"/>
          <w:lang w:eastAsia="zh-CN"/>
        </w:rPr>
        <w:t>China Rural Statistical Yearbook.</w:t>
      </w:r>
      <w:r w:rsidRPr="006B1274">
        <w:rPr>
          <w:rFonts w:asciiTheme="minorHAnsi" w:hAnsiTheme="minorHAnsi" w:hint="eastAsia"/>
          <w:lang w:eastAsia="zh-CN"/>
        </w:rPr>
        <w:t xml:space="preserve"> </w:t>
      </w:r>
      <w:r w:rsidRPr="006B1274">
        <w:rPr>
          <w:rFonts w:asciiTheme="minorHAnsi" w:hAnsiTheme="minorHAnsi"/>
          <w:lang w:eastAsia="zh-CN"/>
        </w:rPr>
        <w:t>Beiji</w:t>
      </w:r>
      <w:r>
        <w:rPr>
          <w:lang w:eastAsia="zh-CN"/>
        </w:rPr>
        <w:t>ng: China Statistics Press; 2016</w:t>
      </w:r>
      <w:r w:rsidRPr="006B1274">
        <w:rPr>
          <w:rFonts w:asciiTheme="minorHAnsi" w:hAnsiTheme="minorHAnsi"/>
          <w:lang w:eastAsia="zh-CN"/>
        </w:rPr>
        <w:t>.</w:t>
      </w:r>
    </w:p>
    <w:sectPr w:rsidR="00170CFB">
      <w:type w:val="continuous"/>
      <w:pgSz w:w="15840" w:h="12240"/>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D4730" w14:textId="77777777" w:rsidR="005B1BB3" w:rsidRDefault="005B1BB3">
      <w:r>
        <w:separator/>
      </w:r>
    </w:p>
  </w:endnote>
  <w:endnote w:type="continuationSeparator" w:id="0">
    <w:p w14:paraId="1604D84F" w14:textId="77777777" w:rsidR="005B1BB3" w:rsidRDefault="005B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 w:name="Helvetica Neue">
    <w:altName w:val="Sylfaen"/>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41795" w14:textId="77777777" w:rsidR="007631E7" w:rsidRDefault="007631E7">
    <w:pPr>
      <w:tabs>
        <w:tab w:val="center" w:pos="4320"/>
        <w:tab w:val="right" w:pos="8640"/>
      </w:tabs>
      <w:jc w:val="center"/>
    </w:pPr>
  </w:p>
  <w:p w14:paraId="11D974D1" w14:textId="77777777" w:rsidR="007631E7" w:rsidRDefault="007631E7">
    <w:pPr>
      <w:tabs>
        <w:tab w:val="center" w:pos="4320"/>
        <w:tab w:val="right" w:pos="8640"/>
      </w:tabs>
    </w:pPr>
    <w:r>
      <w:fldChar w:fldCharType="begin"/>
    </w:r>
    <w:r>
      <w:instrText>PAGE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AEB02" w14:textId="77777777" w:rsidR="007631E7" w:rsidRDefault="007631E7">
    <w:pPr>
      <w:tabs>
        <w:tab w:val="center" w:pos="4320"/>
        <w:tab w:val="right" w:pos="8640"/>
      </w:tabs>
      <w:jc w:val="center"/>
    </w:pPr>
    <w:r>
      <w:fldChar w:fldCharType="begin"/>
    </w:r>
    <w:r>
      <w:instrText>PAGE</w:instrText>
    </w:r>
    <w:r>
      <w:fldChar w:fldCharType="separate"/>
    </w:r>
    <w:r w:rsidR="00FC3AB8">
      <w:rPr>
        <w:noProof/>
      </w:rPr>
      <w:t>1</w:t>
    </w:r>
    <w:r>
      <w:fldChar w:fldCharType="end"/>
    </w:r>
  </w:p>
  <w:p w14:paraId="2FA661E7" w14:textId="77777777" w:rsidR="007631E7" w:rsidRDefault="007631E7">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AAEE1" w14:textId="77777777" w:rsidR="005B1BB3" w:rsidRDefault="005B1BB3">
      <w:r>
        <w:separator/>
      </w:r>
    </w:p>
  </w:footnote>
  <w:footnote w:type="continuationSeparator" w:id="0">
    <w:p w14:paraId="020FDC9B" w14:textId="77777777" w:rsidR="005B1BB3" w:rsidRDefault="005B1B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472B9"/>
    <w:multiLevelType w:val="multilevel"/>
    <w:tmpl w:val="F6D4ECE4"/>
    <w:lvl w:ilvl="0">
      <w:start w:val="1"/>
      <w:numFmt w:val="lowerLetter"/>
      <w:lvlText w:val="%1."/>
      <w:lvlJc w:val="left"/>
      <w:pPr>
        <w:ind w:left="720" w:hanging="360"/>
      </w:pPr>
      <w:rPr>
        <w:rFonts w:ascii="Cambria" w:eastAsia="Cambria" w:hAnsi="Cambria" w:cs="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70CFB"/>
    <w:rsid w:val="000147E9"/>
    <w:rsid w:val="000147ED"/>
    <w:rsid w:val="00015A88"/>
    <w:rsid w:val="0001796D"/>
    <w:rsid w:val="00022B66"/>
    <w:rsid w:val="000262DB"/>
    <w:rsid w:val="00042854"/>
    <w:rsid w:val="00042DEA"/>
    <w:rsid w:val="00043A87"/>
    <w:rsid w:val="00044DAF"/>
    <w:rsid w:val="0005097C"/>
    <w:rsid w:val="0005525C"/>
    <w:rsid w:val="00097AF0"/>
    <w:rsid w:val="000A3E90"/>
    <w:rsid w:val="000C1924"/>
    <w:rsid w:val="000C4ED8"/>
    <w:rsid w:val="000C6D32"/>
    <w:rsid w:val="000D507E"/>
    <w:rsid w:val="000D7B56"/>
    <w:rsid w:val="000E1477"/>
    <w:rsid w:val="000E3FE1"/>
    <w:rsid w:val="000F27A7"/>
    <w:rsid w:val="000F50B1"/>
    <w:rsid w:val="00103406"/>
    <w:rsid w:val="00126F18"/>
    <w:rsid w:val="00127491"/>
    <w:rsid w:val="00130408"/>
    <w:rsid w:val="0014006C"/>
    <w:rsid w:val="001409C0"/>
    <w:rsid w:val="00140EF3"/>
    <w:rsid w:val="001510BC"/>
    <w:rsid w:val="00170CFB"/>
    <w:rsid w:val="00177271"/>
    <w:rsid w:val="00196709"/>
    <w:rsid w:val="001B537C"/>
    <w:rsid w:val="001C1402"/>
    <w:rsid w:val="001C31AC"/>
    <w:rsid w:val="00200352"/>
    <w:rsid w:val="00200C11"/>
    <w:rsid w:val="0020317A"/>
    <w:rsid w:val="0020419D"/>
    <w:rsid w:val="0022464F"/>
    <w:rsid w:val="0023312E"/>
    <w:rsid w:val="00273395"/>
    <w:rsid w:val="002738FF"/>
    <w:rsid w:val="00282BA2"/>
    <w:rsid w:val="002A6959"/>
    <w:rsid w:val="002B041A"/>
    <w:rsid w:val="002C476D"/>
    <w:rsid w:val="002E12F0"/>
    <w:rsid w:val="002F0783"/>
    <w:rsid w:val="002F0B6F"/>
    <w:rsid w:val="002F3FF4"/>
    <w:rsid w:val="002F73F8"/>
    <w:rsid w:val="003125C6"/>
    <w:rsid w:val="00312CCF"/>
    <w:rsid w:val="00316398"/>
    <w:rsid w:val="00340EE9"/>
    <w:rsid w:val="0035240E"/>
    <w:rsid w:val="00364B10"/>
    <w:rsid w:val="0037551C"/>
    <w:rsid w:val="00387221"/>
    <w:rsid w:val="003C27DF"/>
    <w:rsid w:val="003D26DB"/>
    <w:rsid w:val="003E5A2F"/>
    <w:rsid w:val="003F1852"/>
    <w:rsid w:val="0041043D"/>
    <w:rsid w:val="0041655E"/>
    <w:rsid w:val="004165B2"/>
    <w:rsid w:val="00423B3D"/>
    <w:rsid w:val="004378B0"/>
    <w:rsid w:val="00472A52"/>
    <w:rsid w:val="00490C03"/>
    <w:rsid w:val="00494126"/>
    <w:rsid w:val="00494FC3"/>
    <w:rsid w:val="004C449F"/>
    <w:rsid w:val="004D2CBC"/>
    <w:rsid w:val="004D4E06"/>
    <w:rsid w:val="004D6221"/>
    <w:rsid w:val="004E4838"/>
    <w:rsid w:val="004F10F2"/>
    <w:rsid w:val="005058FF"/>
    <w:rsid w:val="00526A6F"/>
    <w:rsid w:val="00536D8C"/>
    <w:rsid w:val="00543FE1"/>
    <w:rsid w:val="0054402D"/>
    <w:rsid w:val="005651C6"/>
    <w:rsid w:val="00566887"/>
    <w:rsid w:val="00575D36"/>
    <w:rsid w:val="005A0D77"/>
    <w:rsid w:val="005B1BB3"/>
    <w:rsid w:val="005C2293"/>
    <w:rsid w:val="005F62BE"/>
    <w:rsid w:val="00610B84"/>
    <w:rsid w:val="00620469"/>
    <w:rsid w:val="0063126A"/>
    <w:rsid w:val="00641B2F"/>
    <w:rsid w:val="00651BC4"/>
    <w:rsid w:val="00652C20"/>
    <w:rsid w:val="006644E4"/>
    <w:rsid w:val="006738A6"/>
    <w:rsid w:val="00682B47"/>
    <w:rsid w:val="00684E2F"/>
    <w:rsid w:val="00690496"/>
    <w:rsid w:val="00695FED"/>
    <w:rsid w:val="006B3B88"/>
    <w:rsid w:val="006C17E3"/>
    <w:rsid w:val="006D4FE2"/>
    <w:rsid w:val="006D7C62"/>
    <w:rsid w:val="006E2804"/>
    <w:rsid w:val="006E73D0"/>
    <w:rsid w:val="006F565D"/>
    <w:rsid w:val="0070490A"/>
    <w:rsid w:val="0071791A"/>
    <w:rsid w:val="0072416B"/>
    <w:rsid w:val="00727848"/>
    <w:rsid w:val="00756C02"/>
    <w:rsid w:val="007631E7"/>
    <w:rsid w:val="007D621B"/>
    <w:rsid w:val="007D668F"/>
    <w:rsid w:val="007E54E6"/>
    <w:rsid w:val="0081219B"/>
    <w:rsid w:val="00821C7F"/>
    <w:rsid w:val="00824AD3"/>
    <w:rsid w:val="00850AA8"/>
    <w:rsid w:val="008541F3"/>
    <w:rsid w:val="008546BE"/>
    <w:rsid w:val="00855B79"/>
    <w:rsid w:val="00867562"/>
    <w:rsid w:val="0087500C"/>
    <w:rsid w:val="00894ECF"/>
    <w:rsid w:val="0089508D"/>
    <w:rsid w:val="008B1B7B"/>
    <w:rsid w:val="008B664C"/>
    <w:rsid w:val="008C3A41"/>
    <w:rsid w:val="008D1EB8"/>
    <w:rsid w:val="008E304F"/>
    <w:rsid w:val="008F22DF"/>
    <w:rsid w:val="008F2C85"/>
    <w:rsid w:val="00915BAF"/>
    <w:rsid w:val="00916050"/>
    <w:rsid w:val="00933067"/>
    <w:rsid w:val="0095066D"/>
    <w:rsid w:val="00952626"/>
    <w:rsid w:val="009535A0"/>
    <w:rsid w:val="0095424B"/>
    <w:rsid w:val="00965788"/>
    <w:rsid w:val="00983855"/>
    <w:rsid w:val="00986837"/>
    <w:rsid w:val="009A3206"/>
    <w:rsid w:val="009B1464"/>
    <w:rsid w:val="009F57E0"/>
    <w:rsid w:val="009F7DB4"/>
    <w:rsid w:val="00A02DFB"/>
    <w:rsid w:val="00A11E2E"/>
    <w:rsid w:val="00A161CD"/>
    <w:rsid w:val="00A237D8"/>
    <w:rsid w:val="00A621E1"/>
    <w:rsid w:val="00A84FAA"/>
    <w:rsid w:val="00A90AFA"/>
    <w:rsid w:val="00A93B09"/>
    <w:rsid w:val="00AA73E0"/>
    <w:rsid w:val="00AB0A8C"/>
    <w:rsid w:val="00AB61A2"/>
    <w:rsid w:val="00AC2D96"/>
    <w:rsid w:val="00AD0E78"/>
    <w:rsid w:val="00AD6A24"/>
    <w:rsid w:val="00AF1C88"/>
    <w:rsid w:val="00AF698A"/>
    <w:rsid w:val="00B05639"/>
    <w:rsid w:val="00B05EFA"/>
    <w:rsid w:val="00B14A99"/>
    <w:rsid w:val="00B27246"/>
    <w:rsid w:val="00B31F80"/>
    <w:rsid w:val="00B3512A"/>
    <w:rsid w:val="00B413BA"/>
    <w:rsid w:val="00B57F86"/>
    <w:rsid w:val="00B651F6"/>
    <w:rsid w:val="00B6720F"/>
    <w:rsid w:val="00B67F82"/>
    <w:rsid w:val="00B74DE3"/>
    <w:rsid w:val="00B84F64"/>
    <w:rsid w:val="00B86A04"/>
    <w:rsid w:val="00B96379"/>
    <w:rsid w:val="00BC4BD2"/>
    <w:rsid w:val="00BD7B50"/>
    <w:rsid w:val="00BE5625"/>
    <w:rsid w:val="00BE573E"/>
    <w:rsid w:val="00BE77B8"/>
    <w:rsid w:val="00BF59B6"/>
    <w:rsid w:val="00C052FD"/>
    <w:rsid w:val="00C23861"/>
    <w:rsid w:val="00C60211"/>
    <w:rsid w:val="00C60E59"/>
    <w:rsid w:val="00C627FB"/>
    <w:rsid w:val="00C930B7"/>
    <w:rsid w:val="00C958D9"/>
    <w:rsid w:val="00CA1B52"/>
    <w:rsid w:val="00CB4326"/>
    <w:rsid w:val="00CB643D"/>
    <w:rsid w:val="00CC1F2B"/>
    <w:rsid w:val="00CE4C41"/>
    <w:rsid w:val="00CF316C"/>
    <w:rsid w:val="00D07582"/>
    <w:rsid w:val="00D16AEA"/>
    <w:rsid w:val="00D20281"/>
    <w:rsid w:val="00D23135"/>
    <w:rsid w:val="00D2605D"/>
    <w:rsid w:val="00D300EF"/>
    <w:rsid w:val="00D416FC"/>
    <w:rsid w:val="00D65183"/>
    <w:rsid w:val="00D65DED"/>
    <w:rsid w:val="00D759AB"/>
    <w:rsid w:val="00D81990"/>
    <w:rsid w:val="00D91DCC"/>
    <w:rsid w:val="00D92F32"/>
    <w:rsid w:val="00D93F8C"/>
    <w:rsid w:val="00D967BE"/>
    <w:rsid w:val="00DA3F92"/>
    <w:rsid w:val="00DB27CE"/>
    <w:rsid w:val="00DC1543"/>
    <w:rsid w:val="00DC385F"/>
    <w:rsid w:val="00DD5F50"/>
    <w:rsid w:val="00DE10C6"/>
    <w:rsid w:val="00DE2245"/>
    <w:rsid w:val="00DE3DA1"/>
    <w:rsid w:val="00DF003B"/>
    <w:rsid w:val="00DF031C"/>
    <w:rsid w:val="00DF17B9"/>
    <w:rsid w:val="00DF1D98"/>
    <w:rsid w:val="00E10596"/>
    <w:rsid w:val="00E6022B"/>
    <w:rsid w:val="00E80B6E"/>
    <w:rsid w:val="00EA681F"/>
    <w:rsid w:val="00EC4BAA"/>
    <w:rsid w:val="00ED55E6"/>
    <w:rsid w:val="00EE47AF"/>
    <w:rsid w:val="00EE47C8"/>
    <w:rsid w:val="00EE6A7E"/>
    <w:rsid w:val="00EF0373"/>
    <w:rsid w:val="00EF3E52"/>
    <w:rsid w:val="00F1040A"/>
    <w:rsid w:val="00F16656"/>
    <w:rsid w:val="00F20D81"/>
    <w:rsid w:val="00F321B8"/>
    <w:rsid w:val="00F41102"/>
    <w:rsid w:val="00F631F3"/>
    <w:rsid w:val="00F72072"/>
    <w:rsid w:val="00FA0B0E"/>
    <w:rsid w:val="00FA6751"/>
    <w:rsid w:val="00FB7A33"/>
    <w:rsid w:val="00FC3AB8"/>
    <w:rsid w:val="00FC5297"/>
    <w:rsid w:val="00FC530D"/>
    <w:rsid w:val="00FE0222"/>
    <w:rsid w:val="00FE747A"/>
    <w:rsid w:val="00FF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09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TOC1">
    <w:name w:val="toc 1"/>
    <w:basedOn w:val="Normal"/>
    <w:next w:val="Normal"/>
    <w:autoRedefine/>
    <w:uiPriority w:val="39"/>
    <w:unhideWhenUsed/>
    <w:rsid w:val="007E54E6"/>
    <w:pPr>
      <w:tabs>
        <w:tab w:val="right" w:pos="12950"/>
      </w:tabs>
      <w:spacing w:after="100"/>
    </w:pPr>
  </w:style>
  <w:style w:type="paragraph" w:styleId="TOC2">
    <w:name w:val="toc 2"/>
    <w:basedOn w:val="Normal"/>
    <w:next w:val="Normal"/>
    <w:autoRedefine/>
    <w:uiPriority w:val="39"/>
    <w:unhideWhenUsed/>
    <w:rsid w:val="000C6D32"/>
    <w:pPr>
      <w:spacing w:after="100"/>
      <w:ind w:left="240"/>
    </w:pPr>
  </w:style>
  <w:style w:type="character" w:styleId="Hyperlink">
    <w:name w:val="Hyperlink"/>
    <w:basedOn w:val="DefaultParagraphFont"/>
    <w:uiPriority w:val="99"/>
    <w:unhideWhenUsed/>
    <w:rsid w:val="000C6D32"/>
    <w:rPr>
      <w:color w:val="0000FF" w:themeColor="hyperlink"/>
      <w:u w:val="single"/>
    </w:rPr>
  </w:style>
  <w:style w:type="paragraph" w:styleId="BalloonText">
    <w:name w:val="Balloon Text"/>
    <w:basedOn w:val="Normal"/>
    <w:link w:val="BalloonTextChar"/>
    <w:uiPriority w:val="99"/>
    <w:semiHidden/>
    <w:unhideWhenUsed/>
    <w:rsid w:val="00651B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51BC4"/>
    <w:rPr>
      <w:rFonts w:ascii="Lucida Grande" w:hAnsi="Lucida Grande"/>
      <w:sz w:val="18"/>
      <w:szCs w:val="18"/>
    </w:rPr>
  </w:style>
  <w:style w:type="table" w:styleId="TableGrid">
    <w:name w:val="Table Grid"/>
    <w:basedOn w:val="TableNormal"/>
    <w:uiPriority w:val="39"/>
    <w:rsid w:val="00EF3E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2F73F8"/>
    <w:pPr>
      <w:pBdr>
        <w:top w:val="none" w:sz="0" w:space="0" w:color="auto"/>
        <w:left w:val="none" w:sz="0" w:space="0" w:color="auto"/>
        <w:bottom w:val="none" w:sz="0" w:space="0" w:color="auto"/>
        <w:right w:val="none" w:sz="0" w:space="0" w:color="auto"/>
        <w:between w:val="none" w:sz="0" w:space="0" w:color="auto"/>
      </w:pBdr>
    </w:pPr>
    <w:rPr>
      <w:rFonts w:ascii="Helvetica" w:hAnsi="Helvetica" w:cs="Times New Roman"/>
      <w:color w:val="454545"/>
      <w:sz w:val="18"/>
      <w:szCs w:val="18"/>
      <w:lang w:eastAsia="zh-CN"/>
    </w:rPr>
  </w:style>
  <w:style w:type="character" w:customStyle="1" w:styleId="apple-converted-space">
    <w:name w:val="apple-converted-space"/>
    <w:basedOn w:val="DefaultParagraphFont"/>
    <w:rsid w:val="002F73F8"/>
  </w:style>
  <w:style w:type="paragraph" w:styleId="ListParagraph">
    <w:name w:val="List Paragraph"/>
    <w:basedOn w:val="Normal"/>
    <w:uiPriority w:val="34"/>
    <w:qFormat/>
    <w:rsid w:val="0023312E"/>
    <w:pPr>
      <w:ind w:left="720"/>
      <w:contextualSpacing/>
    </w:pPr>
  </w:style>
  <w:style w:type="paragraph" w:styleId="Revision">
    <w:name w:val="Revision"/>
    <w:hidden/>
    <w:uiPriority w:val="99"/>
    <w:semiHidden/>
    <w:rsid w:val="0023312E"/>
    <w:pPr>
      <w:pBdr>
        <w:top w:val="none" w:sz="0" w:space="0" w:color="auto"/>
        <w:left w:val="none" w:sz="0" w:space="0" w:color="auto"/>
        <w:bottom w:val="none" w:sz="0" w:space="0" w:color="auto"/>
        <w:right w:val="none" w:sz="0" w:space="0" w:color="auto"/>
        <w:between w:val="none" w:sz="0" w:space="0" w:color="auto"/>
      </w:pBdr>
    </w:pPr>
  </w:style>
  <w:style w:type="character" w:styleId="FollowedHyperlink">
    <w:name w:val="FollowedHyperlink"/>
    <w:basedOn w:val="DefaultParagraphFont"/>
    <w:uiPriority w:val="99"/>
    <w:semiHidden/>
    <w:unhideWhenUsed/>
    <w:rsid w:val="00044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10841">
      <w:bodyDiv w:val="1"/>
      <w:marLeft w:val="0"/>
      <w:marRight w:val="0"/>
      <w:marTop w:val="0"/>
      <w:marBottom w:val="0"/>
      <w:divBdr>
        <w:top w:val="none" w:sz="0" w:space="0" w:color="auto"/>
        <w:left w:val="none" w:sz="0" w:space="0" w:color="auto"/>
        <w:bottom w:val="none" w:sz="0" w:space="0" w:color="auto"/>
        <w:right w:val="none" w:sz="0" w:space="0" w:color="auto"/>
      </w:divBdr>
    </w:div>
    <w:div w:id="196352637">
      <w:bodyDiv w:val="1"/>
      <w:marLeft w:val="0"/>
      <w:marRight w:val="0"/>
      <w:marTop w:val="0"/>
      <w:marBottom w:val="0"/>
      <w:divBdr>
        <w:top w:val="none" w:sz="0" w:space="0" w:color="auto"/>
        <w:left w:val="none" w:sz="0" w:space="0" w:color="auto"/>
        <w:bottom w:val="none" w:sz="0" w:space="0" w:color="auto"/>
        <w:right w:val="none" w:sz="0" w:space="0" w:color="auto"/>
      </w:divBdr>
    </w:div>
    <w:div w:id="244801101">
      <w:bodyDiv w:val="1"/>
      <w:marLeft w:val="0"/>
      <w:marRight w:val="0"/>
      <w:marTop w:val="0"/>
      <w:marBottom w:val="0"/>
      <w:divBdr>
        <w:top w:val="none" w:sz="0" w:space="0" w:color="auto"/>
        <w:left w:val="none" w:sz="0" w:space="0" w:color="auto"/>
        <w:bottom w:val="none" w:sz="0" w:space="0" w:color="auto"/>
        <w:right w:val="none" w:sz="0" w:space="0" w:color="auto"/>
      </w:divBdr>
    </w:div>
    <w:div w:id="274025235">
      <w:bodyDiv w:val="1"/>
      <w:marLeft w:val="0"/>
      <w:marRight w:val="0"/>
      <w:marTop w:val="0"/>
      <w:marBottom w:val="0"/>
      <w:divBdr>
        <w:top w:val="none" w:sz="0" w:space="0" w:color="auto"/>
        <w:left w:val="none" w:sz="0" w:space="0" w:color="auto"/>
        <w:bottom w:val="none" w:sz="0" w:space="0" w:color="auto"/>
        <w:right w:val="none" w:sz="0" w:space="0" w:color="auto"/>
      </w:divBdr>
    </w:div>
    <w:div w:id="756096301">
      <w:bodyDiv w:val="1"/>
      <w:marLeft w:val="0"/>
      <w:marRight w:val="0"/>
      <w:marTop w:val="0"/>
      <w:marBottom w:val="0"/>
      <w:divBdr>
        <w:top w:val="none" w:sz="0" w:space="0" w:color="auto"/>
        <w:left w:val="none" w:sz="0" w:space="0" w:color="auto"/>
        <w:bottom w:val="none" w:sz="0" w:space="0" w:color="auto"/>
        <w:right w:val="none" w:sz="0" w:space="0" w:color="auto"/>
      </w:divBdr>
      <w:divsChild>
        <w:div w:id="1154448854">
          <w:marLeft w:val="0"/>
          <w:marRight w:val="0"/>
          <w:marTop w:val="120"/>
          <w:marBottom w:val="120"/>
          <w:divBdr>
            <w:top w:val="none" w:sz="0" w:space="0" w:color="auto"/>
            <w:left w:val="none" w:sz="0" w:space="0" w:color="auto"/>
            <w:bottom w:val="none" w:sz="0" w:space="0" w:color="auto"/>
            <w:right w:val="none" w:sz="0" w:space="0" w:color="auto"/>
          </w:divBdr>
          <w:divsChild>
            <w:div w:id="408158213">
              <w:marLeft w:val="0"/>
              <w:marRight w:val="0"/>
              <w:marTop w:val="0"/>
              <w:marBottom w:val="0"/>
              <w:divBdr>
                <w:top w:val="none" w:sz="0" w:space="0" w:color="auto"/>
                <w:left w:val="none" w:sz="0" w:space="0" w:color="auto"/>
                <w:bottom w:val="none" w:sz="0" w:space="0" w:color="auto"/>
                <w:right w:val="none" w:sz="0" w:space="0" w:color="auto"/>
              </w:divBdr>
              <w:divsChild>
                <w:div w:id="1089690274">
                  <w:marLeft w:val="0"/>
                  <w:marRight w:val="0"/>
                  <w:marTop w:val="0"/>
                  <w:marBottom w:val="0"/>
                  <w:divBdr>
                    <w:top w:val="none" w:sz="0" w:space="0" w:color="auto"/>
                    <w:left w:val="none" w:sz="0" w:space="0" w:color="auto"/>
                    <w:bottom w:val="none" w:sz="0" w:space="0" w:color="auto"/>
                    <w:right w:val="none" w:sz="0" w:space="0" w:color="auto"/>
                  </w:divBdr>
                  <w:divsChild>
                    <w:div w:id="13692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18112">
          <w:marLeft w:val="75"/>
          <w:marRight w:val="0"/>
          <w:marTop w:val="180"/>
          <w:marBottom w:val="180"/>
          <w:divBdr>
            <w:top w:val="none" w:sz="0" w:space="0" w:color="auto"/>
            <w:left w:val="none" w:sz="0" w:space="0" w:color="auto"/>
            <w:bottom w:val="none" w:sz="0" w:space="0" w:color="auto"/>
            <w:right w:val="none" w:sz="0" w:space="0" w:color="auto"/>
          </w:divBdr>
          <w:divsChild>
            <w:div w:id="2098165866">
              <w:marLeft w:val="0"/>
              <w:marRight w:val="0"/>
              <w:marTop w:val="0"/>
              <w:marBottom w:val="0"/>
              <w:divBdr>
                <w:top w:val="none" w:sz="0" w:space="0" w:color="auto"/>
                <w:left w:val="none" w:sz="0" w:space="0" w:color="auto"/>
                <w:bottom w:val="none" w:sz="0" w:space="0" w:color="auto"/>
                <w:right w:val="none" w:sz="0" w:space="0" w:color="auto"/>
              </w:divBdr>
              <w:divsChild>
                <w:div w:id="663897069">
                  <w:marLeft w:val="0"/>
                  <w:marRight w:val="0"/>
                  <w:marTop w:val="0"/>
                  <w:marBottom w:val="0"/>
                  <w:divBdr>
                    <w:top w:val="single" w:sz="6" w:space="0" w:color="E4E9EC"/>
                    <w:left w:val="none" w:sz="0" w:space="0" w:color="auto"/>
                    <w:bottom w:val="none" w:sz="0" w:space="0" w:color="auto"/>
                    <w:right w:val="none" w:sz="0" w:space="0" w:color="auto"/>
                  </w:divBdr>
                  <w:divsChild>
                    <w:div w:id="14009838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721193">
          <w:marLeft w:val="0"/>
          <w:marRight w:val="0"/>
          <w:marTop w:val="0"/>
          <w:marBottom w:val="0"/>
          <w:divBdr>
            <w:top w:val="none" w:sz="0" w:space="0" w:color="auto"/>
            <w:left w:val="none" w:sz="0" w:space="0" w:color="auto"/>
            <w:bottom w:val="none" w:sz="0" w:space="0" w:color="auto"/>
            <w:right w:val="none" w:sz="0" w:space="0" w:color="auto"/>
          </w:divBdr>
        </w:div>
      </w:divsChild>
    </w:div>
    <w:div w:id="1694307695">
      <w:bodyDiv w:val="1"/>
      <w:marLeft w:val="0"/>
      <w:marRight w:val="0"/>
      <w:marTop w:val="0"/>
      <w:marBottom w:val="0"/>
      <w:divBdr>
        <w:top w:val="none" w:sz="0" w:space="0" w:color="auto"/>
        <w:left w:val="none" w:sz="0" w:space="0" w:color="auto"/>
        <w:bottom w:val="none" w:sz="0" w:space="0" w:color="auto"/>
        <w:right w:val="none" w:sz="0" w:space="0" w:color="auto"/>
      </w:divBdr>
    </w:div>
    <w:div w:id="1973751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ata.worldbank.org/indicator/PA.NUS.PPP" TargetMode="External"/><Relationship Id="rId12" Type="http://schemas.openxmlformats.org/officeDocument/2006/relationships/hyperlink" Target="https://data.worldbank.org/indicator/PA.NUS.FCR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apps.who.int/gho/data/view.main.60340?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2AB6DCD-E9F1-1749-B262-83FB68AE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2441</Words>
  <Characters>13208</Characters>
  <Application>Microsoft Macintosh Word</Application>
  <DocSecurity>0</DocSecurity>
  <Lines>628</Lines>
  <Paragraphs>579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Jinjing Wu</cp:lastModifiedBy>
  <cp:revision>3</cp:revision>
  <dcterms:created xsi:type="dcterms:W3CDTF">2018-11-29T09:07:00Z</dcterms:created>
  <dcterms:modified xsi:type="dcterms:W3CDTF">2018-11-29T09:11:00Z</dcterms:modified>
</cp:coreProperties>
</file>