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EB8" w:rsidRPr="00FB2B47" w:rsidRDefault="008D4EB8" w:rsidP="008D4EB8">
      <w:pPr>
        <w:widowControl/>
        <w:wordWrap/>
        <w:adjustRightInd w:val="0"/>
        <w:spacing w:after="240" w:line="360" w:lineRule="auto"/>
        <w:jc w:val="left"/>
        <w:rPr>
          <w:rFonts w:ascii="Times New Roman" w:eastAsia="맑은 고딕" w:hAnsi="Times New Roman" w:cs="Times New Roman" w:hint="eastAsia"/>
          <w:b/>
          <w:bCs/>
          <w:sz w:val="24"/>
          <w:szCs w:val="24"/>
        </w:rPr>
      </w:pPr>
      <w:r>
        <w:rPr>
          <w:rFonts w:ascii="Times New Roman" w:eastAsia="맑은 고딕" w:hAnsi="Times New Roman" w:cs="Times New Roman"/>
          <w:b/>
          <w:bCs/>
          <w:sz w:val="24"/>
          <w:szCs w:val="24"/>
        </w:rPr>
        <w:t>T</w:t>
      </w:r>
      <w:r w:rsidRPr="00EC7E8F">
        <w:rPr>
          <w:rFonts w:ascii="Times New Roman" w:eastAsia="맑은 고딕" w:hAnsi="Times New Roman" w:cs="Times New Roman"/>
          <w:b/>
          <w:bCs/>
          <w:sz w:val="24"/>
          <w:szCs w:val="24"/>
        </w:rPr>
        <w:t>able. Demographic and clinical characteristics of healthy subjects.</w:t>
      </w:r>
    </w:p>
    <w:tbl>
      <w:tblPr>
        <w:tblStyle w:val="1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9"/>
        <w:gridCol w:w="1843"/>
      </w:tblGrid>
      <w:tr w:rsidR="008D4EB8" w:rsidRPr="00EC7E8F" w:rsidTr="008D4EB8">
        <w:trPr>
          <w:trHeight w:val="57"/>
        </w:trPr>
        <w:tc>
          <w:tcPr>
            <w:tcW w:w="6369" w:type="dxa"/>
            <w:tcBorders>
              <w:top w:val="single" w:sz="4" w:space="0" w:color="auto"/>
              <w:bottom w:val="single" w:sz="4" w:space="0" w:color="auto"/>
            </w:tcBorders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 xml:space="preserve">Phenotype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Value</w:t>
            </w:r>
          </w:p>
        </w:tc>
      </w:tr>
      <w:tr w:rsidR="008D4EB8" w:rsidRPr="00EC7E8F" w:rsidTr="008D4EB8">
        <w:trPr>
          <w:trHeight w:val="57"/>
        </w:trPr>
        <w:tc>
          <w:tcPr>
            <w:tcW w:w="6369" w:type="dxa"/>
            <w:tcBorders>
              <w:top w:val="single" w:sz="4" w:space="0" w:color="auto"/>
            </w:tcBorders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5907</w:t>
            </w:r>
          </w:p>
        </w:tc>
      </w:tr>
      <w:tr w:rsidR="008D4EB8" w:rsidRPr="00EC7E8F" w:rsidTr="008D4EB8">
        <w:trPr>
          <w:trHeight w:val="57"/>
        </w:trPr>
        <w:tc>
          <w:tcPr>
            <w:tcW w:w="6369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Age, years</w:t>
            </w:r>
          </w:p>
        </w:tc>
        <w:tc>
          <w:tcPr>
            <w:tcW w:w="1843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41.5±14.1</w:t>
            </w:r>
          </w:p>
        </w:tc>
      </w:tr>
      <w:tr w:rsidR="008D4EB8" w:rsidRPr="00EC7E8F" w:rsidTr="008D4EB8">
        <w:trPr>
          <w:trHeight w:val="57"/>
        </w:trPr>
        <w:tc>
          <w:tcPr>
            <w:tcW w:w="6369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 w:hint="eastAsia"/>
                <w:sz w:val="24"/>
                <w:szCs w:val="24"/>
              </w:rPr>
              <w:t>M</w:t>
            </w: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ale gender, %</w:t>
            </w:r>
          </w:p>
        </w:tc>
        <w:tc>
          <w:tcPr>
            <w:tcW w:w="1843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42.1</w:t>
            </w:r>
          </w:p>
        </w:tc>
      </w:tr>
      <w:tr w:rsidR="008D4EB8" w:rsidRPr="00EC7E8F" w:rsidTr="008D4EB8">
        <w:trPr>
          <w:trHeight w:val="57"/>
        </w:trPr>
        <w:tc>
          <w:tcPr>
            <w:tcW w:w="6369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Weight, kg</w:t>
            </w:r>
          </w:p>
        </w:tc>
        <w:tc>
          <w:tcPr>
            <w:tcW w:w="1843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59.5±10.3</w:t>
            </w:r>
          </w:p>
        </w:tc>
      </w:tr>
      <w:tr w:rsidR="008D4EB8" w:rsidRPr="00EC7E8F" w:rsidTr="008D4EB8">
        <w:trPr>
          <w:trHeight w:val="57"/>
        </w:trPr>
        <w:tc>
          <w:tcPr>
            <w:tcW w:w="6369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Height, m</w:t>
            </w:r>
          </w:p>
        </w:tc>
        <w:tc>
          <w:tcPr>
            <w:tcW w:w="1843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162.7±8.5</w:t>
            </w:r>
          </w:p>
        </w:tc>
      </w:tr>
      <w:tr w:rsidR="008D4EB8" w:rsidRPr="00EC7E8F" w:rsidTr="008D4EB8">
        <w:trPr>
          <w:trHeight w:val="57"/>
        </w:trPr>
        <w:tc>
          <w:tcPr>
            <w:tcW w:w="6369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BMI, kg/m2</w:t>
            </w:r>
          </w:p>
        </w:tc>
        <w:tc>
          <w:tcPr>
            <w:tcW w:w="1843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22.4±3.0</w:t>
            </w:r>
          </w:p>
        </w:tc>
      </w:tr>
      <w:tr w:rsidR="008D4EB8" w:rsidRPr="00EC7E8F" w:rsidTr="008D4EB8">
        <w:trPr>
          <w:trHeight w:val="57"/>
        </w:trPr>
        <w:tc>
          <w:tcPr>
            <w:tcW w:w="6369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SBP, mm Hg</w:t>
            </w:r>
          </w:p>
        </w:tc>
        <w:tc>
          <w:tcPr>
            <w:tcW w:w="1843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105±8</w:t>
            </w:r>
          </w:p>
        </w:tc>
      </w:tr>
      <w:tr w:rsidR="008D4EB8" w:rsidRPr="00EC7E8F" w:rsidTr="008D4EB8">
        <w:trPr>
          <w:trHeight w:val="57"/>
        </w:trPr>
        <w:tc>
          <w:tcPr>
            <w:tcW w:w="6369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DBP, mm Hg</w:t>
            </w:r>
          </w:p>
        </w:tc>
        <w:tc>
          <w:tcPr>
            <w:tcW w:w="1843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69±6</w:t>
            </w:r>
          </w:p>
        </w:tc>
      </w:tr>
      <w:tr w:rsidR="008D4EB8" w:rsidRPr="00EC7E8F" w:rsidTr="008D4EB8">
        <w:trPr>
          <w:trHeight w:val="57"/>
        </w:trPr>
        <w:tc>
          <w:tcPr>
            <w:tcW w:w="6369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HbA1c, %</w:t>
            </w:r>
          </w:p>
        </w:tc>
        <w:tc>
          <w:tcPr>
            <w:tcW w:w="1843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5.47±0.32</w:t>
            </w:r>
          </w:p>
        </w:tc>
      </w:tr>
      <w:tr w:rsidR="008D4EB8" w:rsidRPr="00EC7E8F" w:rsidTr="008D4EB8">
        <w:trPr>
          <w:trHeight w:val="57"/>
        </w:trPr>
        <w:tc>
          <w:tcPr>
            <w:tcW w:w="6369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Fasting plasma glucose, mg/</w:t>
            </w:r>
            <w:proofErr w:type="spellStart"/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843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88.6±5.9</w:t>
            </w:r>
          </w:p>
        </w:tc>
      </w:tr>
      <w:tr w:rsidR="008D4EB8" w:rsidRPr="00EC7E8F" w:rsidTr="008D4EB8">
        <w:trPr>
          <w:trHeight w:val="57"/>
        </w:trPr>
        <w:tc>
          <w:tcPr>
            <w:tcW w:w="6369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Total cholesterol, mg/</w:t>
            </w:r>
            <w:proofErr w:type="spellStart"/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843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184±33</w:t>
            </w:r>
          </w:p>
        </w:tc>
      </w:tr>
      <w:tr w:rsidR="008D4EB8" w:rsidRPr="00EC7E8F" w:rsidTr="008D4EB8">
        <w:trPr>
          <w:trHeight w:val="57"/>
        </w:trPr>
        <w:tc>
          <w:tcPr>
            <w:tcW w:w="6369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Triglyceride, mg/</w:t>
            </w:r>
            <w:proofErr w:type="spellStart"/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dL</w:t>
            </w:r>
            <w:proofErr w:type="spellEnd"/>
            <w:r w:rsidRPr="00EC7E8F" w:rsidDel="00704B43">
              <w:rPr>
                <w:rFonts w:ascii="TimesNewRomanPSMT" w:eastAsia="맑은 고딕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101±71</w:t>
            </w:r>
          </w:p>
        </w:tc>
      </w:tr>
      <w:tr w:rsidR="008D4EB8" w:rsidRPr="00EC7E8F" w:rsidTr="008D4EB8">
        <w:trPr>
          <w:trHeight w:val="57"/>
        </w:trPr>
        <w:tc>
          <w:tcPr>
            <w:tcW w:w="6369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HDL-cholesterol, mg/</w:t>
            </w:r>
            <w:proofErr w:type="spellStart"/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843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56±13</w:t>
            </w:r>
          </w:p>
        </w:tc>
      </w:tr>
      <w:tr w:rsidR="008D4EB8" w:rsidRPr="00EC7E8F" w:rsidTr="008D4EB8">
        <w:trPr>
          <w:trHeight w:val="57"/>
        </w:trPr>
        <w:tc>
          <w:tcPr>
            <w:tcW w:w="6369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Serum creatinine, mg/</w:t>
            </w:r>
            <w:proofErr w:type="spellStart"/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843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0.78±0.15</w:t>
            </w:r>
          </w:p>
        </w:tc>
      </w:tr>
      <w:tr w:rsidR="008D4EB8" w:rsidRPr="00EC7E8F" w:rsidTr="008D4EB8">
        <w:trPr>
          <w:trHeight w:val="57"/>
        </w:trPr>
        <w:tc>
          <w:tcPr>
            <w:tcW w:w="6369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eGFR by CKD-EPI equation, ml/min/1.73 m</w:t>
            </w: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102±15</w:t>
            </w:r>
          </w:p>
        </w:tc>
      </w:tr>
      <w:tr w:rsidR="008D4EB8" w:rsidRPr="00EC7E8F" w:rsidTr="008D4EB8">
        <w:trPr>
          <w:trHeight w:val="57"/>
        </w:trPr>
        <w:tc>
          <w:tcPr>
            <w:tcW w:w="6369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Urine creatinine, g/</w:t>
            </w:r>
            <w:proofErr w:type="spellStart"/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843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1.66±0.89</w:t>
            </w:r>
          </w:p>
        </w:tc>
      </w:tr>
      <w:tr w:rsidR="008D4EB8" w:rsidRPr="00EC7E8F" w:rsidTr="008D4EB8">
        <w:trPr>
          <w:trHeight w:val="57"/>
        </w:trPr>
        <w:tc>
          <w:tcPr>
            <w:tcW w:w="6369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Urine albumin, mg/</w:t>
            </w:r>
            <w:proofErr w:type="spellStart"/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843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0.096±0.290</w:t>
            </w:r>
          </w:p>
        </w:tc>
      </w:tr>
      <w:tr w:rsidR="008D4EB8" w:rsidRPr="00EC7E8F" w:rsidTr="008D4EB8">
        <w:trPr>
          <w:trHeight w:val="57"/>
        </w:trPr>
        <w:tc>
          <w:tcPr>
            <w:tcW w:w="6369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ACR, mg/g</w:t>
            </w:r>
          </w:p>
        </w:tc>
        <w:tc>
          <w:tcPr>
            <w:tcW w:w="1843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0.561±1.440</w:t>
            </w:r>
          </w:p>
        </w:tc>
      </w:tr>
      <w:tr w:rsidR="008D4EB8" w:rsidRPr="00EC7E8F" w:rsidTr="008D4EB8">
        <w:trPr>
          <w:trHeight w:val="57"/>
        </w:trPr>
        <w:tc>
          <w:tcPr>
            <w:tcW w:w="6369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Energy intake, kcal</w:t>
            </w:r>
          </w:p>
        </w:tc>
        <w:tc>
          <w:tcPr>
            <w:tcW w:w="1843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2013±903</w:t>
            </w:r>
          </w:p>
        </w:tc>
      </w:tr>
      <w:tr w:rsidR="008D4EB8" w:rsidRPr="00EC7E8F" w:rsidTr="008D4EB8">
        <w:trPr>
          <w:trHeight w:val="57"/>
        </w:trPr>
        <w:tc>
          <w:tcPr>
            <w:tcW w:w="6369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Protein intake, g</w:t>
            </w:r>
          </w:p>
        </w:tc>
        <w:tc>
          <w:tcPr>
            <w:tcW w:w="1843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73.2±44.3</w:t>
            </w:r>
          </w:p>
        </w:tc>
      </w:tr>
      <w:tr w:rsidR="008D4EB8" w:rsidRPr="00EC7E8F" w:rsidTr="008D4EB8">
        <w:trPr>
          <w:trHeight w:val="57"/>
        </w:trPr>
        <w:tc>
          <w:tcPr>
            <w:tcW w:w="6369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Fat intake, g</w:t>
            </w:r>
          </w:p>
        </w:tc>
        <w:tc>
          <w:tcPr>
            <w:tcW w:w="1843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46.8±35.5</w:t>
            </w:r>
          </w:p>
        </w:tc>
      </w:tr>
      <w:tr w:rsidR="008D4EB8" w:rsidRPr="00EC7E8F" w:rsidTr="008D4EB8">
        <w:trPr>
          <w:trHeight w:val="57"/>
        </w:trPr>
        <w:tc>
          <w:tcPr>
            <w:tcW w:w="6369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Carbohydrate intake, g</w:t>
            </w:r>
          </w:p>
        </w:tc>
        <w:tc>
          <w:tcPr>
            <w:tcW w:w="1843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312±135</w:t>
            </w:r>
          </w:p>
        </w:tc>
      </w:tr>
      <w:tr w:rsidR="008D4EB8" w:rsidRPr="00EC7E8F" w:rsidTr="008D4EB8">
        <w:trPr>
          <w:trHeight w:val="60"/>
        </w:trPr>
        <w:tc>
          <w:tcPr>
            <w:tcW w:w="6369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Sodium intake, mg</w:t>
            </w:r>
          </w:p>
        </w:tc>
        <w:tc>
          <w:tcPr>
            <w:tcW w:w="1843" w:type="dxa"/>
          </w:tcPr>
          <w:p w:rsidR="008D4EB8" w:rsidRPr="00EC7E8F" w:rsidRDefault="008D4EB8" w:rsidP="008D4EB8">
            <w:pPr>
              <w:widowControl/>
              <w:wordWrap/>
              <w:adjustRightInd w:val="0"/>
              <w:spacing w:line="240" w:lineRule="auto"/>
              <w:jc w:val="center"/>
              <w:rPr>
                <w:rFonts w:ascii="TimesNewRomanPSMT" w:eastAsia="맑은 고딕" w:hAnsi="TimesNewRomanPSMT" w:cs="TimesNewRomanPSMT"/>
                <w:sz w:val="24"/>
                <w:szCs w:val="24"/>
              </w:rPr>
            </w:pPr>
            <w:r w:rsidRPr="00EC7E8F">
              <w:rPr>
                <w:rFonts w:ascii="TimesNewRomanPSMT" w:eastAsia="맑은 고딕" w:hAnsi="TimesNewRomanPSMT" w:cs="TimesNewRomanPSMT"/>
                <w:sz w:val="24"/>
                <w:szCs w:val="24"/>
              </w:rPr>
              <w:t>4430±3185</w:t>
            </w:r>
          </w:p>
        </w:tc>
      </w:tr>
    </w:tbl>
    <w:p w:rsidR="008D4EB8" w:rsidRPr="00EC7E8F" w:rsidRDefault="008D4EB8" w:rsidP="008D4EB8">
      <w:pPr>
        <w:widowControl/>
        <w:wordWrap/>
        <w:adjustRightInd w:val="0"/>
        <w:spacing w:after="240" w:line="360" w:lineRule="auto"/>
        <w:jc w:val="left"/>
        <w:rPr>
          <w:rFonts w:ascii="Times New Roman" w:eastAsia="맑은 고딕" w:hAnsi="Times New Roman" w:cs="Times New Roman"/>
          <w:b/>
          <w:bCs/>
          <w:sz w:val="24"/>
          <w:szCs w:val="24"/>
        </w:rPr>
      </w:pPr>
      <w:r w:rsidRPr="00EC7E8F">
        <w:rPr>
          <w:rFonts w:ascii="Times New Roman" w:eastAsia="맑은 고딕" w:hAnsi="Times New Roman" w:cs="Times New Roman"/>
          <w:szCs w:val="20"/>
        </w:rPr>
        <w:t>BMI, body mass index; SBP, systolic blood pressure; DBP, diastolic blood pressure; HbA1c, glycated hemoglobin; HDL, high-density lipoprotein; eGFR, estimated glomerular filtration rate; ACR, albumin creation ratio</w:t>
      </w:r>
      <w:bookmarkStart w:id="0" w:name="_GoBack"/>
      <w:bookmarkEnd w:id="0"/>
    </w:p>
    <w:p w:rsidR="008D4EB8" w:rsidRPr="00EC7E8F" w:rsidRDefault="008D4EB8" w:rsidP="008D4EB8">
      <w:pPr>
        <w:widowControl/>
        <w:wordWrap/>
        <w:adjustRightInd w:val="0"/>
        <w:spacing w:after="240" w:line="360" w:lineRule="auto"/>
        <w:jc w:val="left"/>
        <w:rPr>
          <w:rFonts w:ascii="Times New Roman" w:eastAsia="맑은 고딕" w:hAnsi="Times New Roman" w:cs="Times New Roman"/>
          <w:b/>
          <w:bCs/>
          <w:sz w:val="24"/>
          <w:szCs w:val="24"/>
        </w:rPr>
      </w:pPr>
    </w:p>
    <w:p w:rsidR="00BA372F" w:rsidRPr="008D4EB8" w:rsidRDefault="008D4EB8"/>
    <w:sectPr w:rsidR="00BA372F" w:rsidRPr="008D4EB8" w:rsidSect="0081695D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B8"/>
    <w:rsid w:val="00791455"/>
    <w:rsid w:val="0081695D"/>
    <w:rsid w:val="008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7DE59"/>
  <w15:chartTrackingRefBased/>
  <w15:docId w15:val="{73DC8A19-8AED-8745-8A1E-54C55F2C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EB8"/>
    <w:pPr>
      <w:widowControl w:val="0"/>
      <w:wordWrap w:val="0"/>
      <w:autoSpaceDE w:val="0"/>
      <w:autoSpaceDN w:val="0"/>
      <w:spacing w:after="160" w:line="259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눈금 표 1 밝게1"/>
    <w:basedOn w:val="a1"/>
    <w:next w:val="1"/>
    <w:uiPriority w:val="46"/>
    <w:rsid w:val="008D4EB8"/>
    <w:pPr>
      <w:jc w:val="left"/>
    </w:pPr>
    <w:rPr>
      <w:rFonts w:ascii="Times New Roman" w:hAnsi="Times New Roman" w:cs="Times New Roman"/>
      <w:kern w:val="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8D4E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Sangmo</dc:creator>
  <cp:keywords/>
  <dc:description/>
  <cp:lastModifiedBy>Hong Sangmo</cp:lastModifiedBy>
  <cp:revision>1</cp:revision>
  <dcterms:created xsi:type="dcterms:W3CDTF">2018-11-11T12:54:00Z</dcterms:created>
  <dcterms:modified xsi:type="dcterms:W3CDTF">2018-11-11T12:56:00Z</dcterms:modified>
</cp:coreProperties>
</file>