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2C" w:rsidRPr="00BF7DDE" w:rsidRDefault="00670296" w:rsidP="0010442C">
      <w:pPr>
        <w:tabs>
          <w:tab w:val="left" w:pos="1880"/>
        </w:tabs>
        <w:rPr>
          <w:rFonts w:ascii="Times New Roman" w:hAnsi="Times New Roman"/>
          <w:b/>
          <w:spacing w:val="2"/>
          <w:w w:val="103"/>
          <w:sz w:val="28"/>
          <w:szCs w:val="28"/>
        </w:rPr>
      </w:pPr>
      <w:r>
        <w:rPr>
          <w:rFonts w:ascii="Times New Roman" w:hAnsi="Times New Roman"/>
          <w:b/>
          <w:spacing w:val="8"/>
          <w:sz w:val="28"/>
          <w:szCs w:val="28"/>
        </w:rPr>
        <w:t>S1</w:t>
      </w:r>
      <w:bookmarkStart w:id="0" w:name="_GoBack"/>
      <w:bookmarkEnd w:id="0"/>
      <w:r w:rsidR="0010442C" w:rsidRPr="00BF7DDE">
        <w:rPr>
          <w:rFonts w:ascii="Times New Roman" w:hAnsi="Times New Roman"/>
          <w:b/>
          <w:spacing w:val="8"/>
          <w:sz w:val="28"/>
          <w:szCs w:val="28"/>
        </w:rPr>
        <w:t xml:space="preserve"> </w:t>
      </w:r>
      <w:r w:rsidR="00A4593A">
        <w:rPr>
          <w:rFonts w:ascii="Times New Roman" w:hAnsi="Times New Roman"/>
          <w:b/>
          <w:spacing w:val="1"/>
          <w:sz w:val="28"/>
          <w:szCs w:val="28"/>
        </w:rPr>
        <w:t>Table</w:t>
      </w:r>
      <w:r w:rsidR="0010442C" w:rsidRPr="00BF7DDE">
        <w:rPr>
          <w:rFonts w:ascii="Times New Roman" w:hAnsi="Times New Roman"/>
          <w:b/>
          <w:spacing w:val="2"/>
          <w:w w:val="103"/>
          <w:sz w:val="28"/>
          <w:szCs w:val="28"/>
        </w:rPr>
        <w:t>. Non-fatal cotrimoxazole preventable events by treatment group</w:t>
      </w:r>
      <w:r w:rsidR="002A4AC9">
        <w:rPr>
          <w:rFonts w:ascii="Times New Roman" w:hAnsi="Times New Roman"/>
          <w:b/>
          <w:spacing w:val="2"/>
          <w:w w:val="103"/>
          <w:sz w:val="28"/>
          <w:szCs w:val="28"/>
        </w:rPr>
        <w:t xml:space="preserve"> </w:t>
      </w:r>
      <w:r w:rsidR="00A07F3E">
        <w:rPr>
          <w:rFonts w:ascii="Times New Roman" w:hAnsi="Times New Roman"/>
          <w:b/>
          <w:spacing w:val="2"/>
          <w:w w:val="103"/>
          <w:sz w:val="28"/>
          <w:szCs w:val="28"/>
        </w:rPr>
        <w:t xml:space="preserve"> </w:t>
      </w:r>
      <w:r w:rsidR="002A4AC9">
        <w:rPr>
          <w:rFonts w:ascii="Times New Roman" w:hAnsi="Times New Roman"/>
          <w:b/>
          <w:spacing w:val="2"/>
          <w:w w:val="103"/>
          <w:sz w:val="28"/>
          <w:szCs w:val="28"/>
        </w:rPr>
        <w:t xml:space="preserve"> </w:t>
      </w:r>
    </w:p>
    <w:p w:rsidR="0010442C" w:rsidRDefault="0010442C" w:rsidP="0010442C">
      <w:pPr>
        <w:widowControl w:val="0"/>
        <w:autoSpaceDE w:val="0"/>
        <w:autoSpaceDN w:val="0"/>
        <w:adjustRightInd w:val="0"/>
        <w:spacing w:before="12" w:after="0" w:line="240" w:lineRule="auto"/>
        <w:ind w:left="100"/>
        <w:rPr>
          <w:rFonts w:cs="Calibri"/>
          <w:color w:val="000000"/>
          <w:sz w:val="19"/>
          <w:szCs w:val="19"/>
        </w:rPr>
      </w:pPr>
    </w:p>
    <w:p w:rsidR="0010442C" w:rsidRDefault="0010442C" w:rsidP="0010442C">
      <w:pPr>
        <w:widowControl w:val="0"/>
        <w:autoSpaceDE w:val="0"/>
        <w:autoSpaceDN w:val="0"/>
        <w:adjustRightInd w:val="0"/>
        <w:spacing w:before="4" w:after="0" w:line="10" w:lineRule="exact"/>
        <w:rPr>
          <w:rFonts w:cs="Calibri"/>
          <w:color w:val="000000"/>
          <w:sz w:val="2"/>
          <w:szCs w:val="2"/>
        </w:rPr>
      </w:pPr>
    </w:p>
    <w:p w:rsidR="0010442C" w:rsidRDefault="0010442C" w:rsidP="0010442C">
      <w:pPr>
        <w:widowControl w:val="0"/>
        <w:autoSpaceDE w:val="0"/>
        <w:autoSpaceDN w:val="0"/>
        <w:adjustRightInd w:val="0"/>
        <w:spacing w:after="0" w:line="212" w:lineRule="exact"/>
        <w:ind w:left="100"/>
        <w:rPr>
          <w:rFonts w:ascii="Times New Roman" w:hAnsi="Times New Roman"/>
          <w:spacing w:val="2"/>
          <w:sz w:val="19"/>
          <w:szCs w:val="19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1559"/>
        <w:gridCol w:w="941"/>
      </w:tblGrid>
      <w:tr w:rsidR="0010442C" w:rsidRPr="002303C2" w:rsidTr="00DA17F0">
        <w:tc>
          <w:tcPr>
            <w:tcW w:w="4957" w:type="dxa"/>
          </w:tcPr>
          <w:p w:rsidR="0010442C" w:rsidRPr="002303C2" w:rsidRDefault="0010442C" w:rsidP="00DA17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3C2">
              <w:rPr>
                <w:rFonts w:ascii="Times New Roman" w:hAnsi="Times New Roman"/>
                <w:b/>
                <w:sz w:val="20"/>
                <w:szCs w:val="20"/>
              </w:rPr>
              <w:t>Description of event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3C2">
              <w:rPr>
                <w:rFonts w:ascii="Times New Roman" w:hAnsi="Times New Roman"/>
                <w:b/>
                <w:sz w:val="20"/>
                <w:szCs w:val="20"/>
              </w:rPr>
              <w:t>CTX group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3C2">
              <w:rPr>
                <w:rFonts w:ascii="Times New Roman" w:hAnsi="Times New Roman"/>
                <w:b/>
                <w:sz w:val="20"/>
                <w:szCs w:val="20"/>
              </w:rPr>
              <w:t>Placebo group</w:t>
            </w:r>
          </w:p>
        </w:tc>
        <w:tc>
          <w:tcPr>
            <w:tcW w:w="941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3C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10442C" w:rsidRPr="002303C2" w:rsidTr="00DA17F0">
        <w:tc>
          <w:tcPr>
            <w:tcW w:w="4957" w:type="dxa"/>
          </w:tcPr>
          <w:p w:rsidR="0010442C" w:rsidRPr="002303C2" w:rsidRDefault="0010442C" w:rsidP="00DA17F0">
            <w:pPr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Recurrent bacterial upper respiratory tract infections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1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0442C" w:rsidRPr="002303C2" w:rsidTr="00DA17F0">
        <w:tc>
          <w:tcPr>
            <w:tcW w:w="4957" w:type="dxa"/>
          </w:tcPr>
          <w:p w:rsidR="0010442C" w:rsidRPr="002303C2" w:rsidRDefault="0010442C" w:rsidP="00DA17F0">
            <w:pPr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Sinusitis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0442C" w:rsidRPr="002303C2" w:rsidTr="00DA17F0">
        <w:tc>
          <w:tcPr>
            <w:tcW w:w="4957" w:type="dxa"/>
          </w:tcPr>
          <w:p w:rsidR="0010442C" w:rsidRPr="002303C2" w:rsidRDefault="0010442C" w:rsidP="00DA17F0">
            <w:pPr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Cellulitis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442C" w:rsidRPr="002303C2" w:rsidTr="00DA17F0">
        <w:tc>
          <w:tcPr>
            <w:tcW w:w="4957" w:type="dxa"/>
          </w:tcPr>
          <w:p w:rsidR="0010442C" w:rsidRPr="002303C2" w:rsidRDefault="0010442C" w:rsidP="00DA17F0">
            <w:pPr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Acute appendicitis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0442C" w:rsidRPr="002303C2" w:rsidTr="00DA17F0">
        <w:tc>
          <w:tcPr>
            <w:tcW w:w="4957" w:type="dxa"/>
          </w:tcPr>
          <w:p w:rsidR="0010442C" w:rsidRPr="002303C2" w:rsidRDefault="0010442C" w:rsidP="00DA17F0">
            <w:pPr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Otitis media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442C" w:rsidRPr="002303C2" w:rsidTr="00DA17F0">
        <w:tc>
          <w:tcPr>
            <w:tcW w:w="4957" w:type="dxa"/>
          </w:tcPr>
          <w:p w:rsidR="0010442C" w:rsidRPr="002303C2" w:rsidRDefault="0010442C" w:rsidP="00DA17F0">
            <w:pPr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Atypical pneumonia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0442C" w:rsidRPr="002303C2" w:rsidTr="00DA17F0">
        <w:tc>
          <w:tcPr>
            <w:tcW w:w="4957" w:type="dxa"/>
          </w:tcPr>
          <w:p w:rsidR="0010442C" w:rsidRPr="002303C2" w:rsidRDefault="0010442C" w:rsidP="00DA17F0">
            <w:pPr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Bartholin</w:t>
            </w:r>
            <w:r w:rsidRPr="00B443F8">
              <w:rPr>
                <w:rFonts w:ascii="Times New Roman" w:hAnsi="Times New Roman"/>
                <w:sz w:val="20"/>
                <w:szCs w:val="20"/>
              </w:rPr>
              <w:t>’</w:t>
            </w:r>
            <w:r w:rsidRPr="002303C2">
              <w:rPr>
                <w:rFonts w:ascii="Times New Roman" w:hAnsi="Times New Roman"/>
                <w:sz w:val="20"/>
                <w:szCs w:val="20"/>
              </w:rPr>
              <w:t>s abscess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0442C" w:rsidRPr="002303C2" w:rsidTr="00DA17F0">
        <w:tc>
          <w:tcPr>
            <w:tcW w:w="4957" w:type="dxa"/>
          </w:tcPr>
          <w:p w:rsidR="0010442C" w:rsidRPr="002303C2" w:rsidRDefault="0010442C" w:rsidP="00DA17F0">
            <w:pPr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Bacterial bronchopneumonia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41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10442C" w:rsidRPr="002303C2" w:rsidTr="00DA17F0">
        <w:tc>
          <w:tcPr>
            <w:tcW w:w="4957" w:type="dxa"/>
          </w:tcPr>
          <w:p w:rsidR="0010442C" w:rsidRPr="002303C2" w:rsidRDefault="0010442C" w:rsidP="00DA17F0">
            <w:pPr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Epididymorchitis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0442C" w:rsidRPr="002303C2" w:rsidTr="00DA17F0">
        <w:tc>
          <w:tcPr>
            <w:tcW w:w="4957" w:type="dxa"/>
          </w:tcPr>
          <w:p w:rsidR="0010442C" w:rsidRPr="002303C2" w:rsidRDefault="0010442C" w:rsidP="00DA17F0">
            <w:pPr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Infected uterine fibroids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0442C" w:rsidRPr="002303C2" w:rsidTr="00DA17F0">
        <w:tc>
          <w:tcPr>
            <w:tcW w:w="4957" w:type="dxa"/>
          </w:tcPr>
          <w:p w:rsidR="0010442C" w:rsidRPr="002303C2" w:rsidRDefault="0010442C" w:rsidP="00DA17F0">
            <w:pPr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Infective endocarditis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0442C" w:rsidRPr="002303C2" w:rsidTr="00DA17F0">
        <w:tc>
          <w:tcPr>
            <w:tcW w:w="4957" w:type="dxa"/>
          </w:tcPr>
          <w:p w:rsidR="0010442C" w:rsidRPr="002303C2" w:rsidRDefault="0010442C" w:rsidP="00DA17F0">
            <w:pPr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Lobar pneumonia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0442C" w:rsidRPr="002303C2" w:rsidTr="00DA17F0">
        <w:tc>
          <w:tcPr>
            <w:tcW w:w="4957" w:type="dxa"/>
          </w:tcPr>
          <w:p w:rsidR="0010442C" w:rsidRPr="002303C2" w:rsidRDefault="0010442C" w:rsidP="00DA17F0">
            <w:pPr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Septic skin lesions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0442C" w:rsidRPr="002303C2" w:rsidTr="00DA17F0">
        <w:tc>
          <w:tcPr>
            <w:tcW w:w="4957" w:type="dxa"/>
          </w:tcPr>
          <w:p w:rsidR="0010442C" w:rsidRPr="002303C2" w:rsidRDefault="0010442C" w:rsidP="00DA17F0">
            <w:pPr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Skin abscess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0442C" w:rsidRPr="002303C2" w:rsidTr="00DA17F0">
        <w:tc>
          <w:tcPr>
            <w:tcW w:w="4957" w:type="dxa"/>
          </w:tcPr>
          <w:p w:rsidR="0010442C" w:rsidRPr="002303C2" w:rsidRDefault="0010442C" w:rsidP="00DA17F0">
            <w:pPr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Pelvic abscess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0442C" w:rsidRPr="002303C2" w:rsidTr="00DA17F0">
        <w:tc>
          <w:tcPr>
            <w:tcW w:w="4957" w:type="dxa"/>
          </w:tcPr>
          <w:p w:rsidR="0010442C" w:rsidRPr="002303C2" w:rsidRDefault="0010442C" w:rsidP="00DA17F0">
            <w:pPr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Pelvic inflammatory disease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442C" w:rsidRPr="002303C2" w:rsidTr="00DA17F0">
        <w:tc>
          <w:tcPr>
            <w:tcW w:w="4957" w:type="dxa"/>
          </w:tcPr>
          <w:p w:rsidR="0010442C" w:rsidRPr="002303C2" w:rsidRDefault="0010442C" w:rsidP="00DA17F0">
            <w:pPr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Perirectal abscess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0442C" w:rsidRPr="002303C2" w:rsidTr="00DA17F0">
        <w:tc>
          <w:tcPr>
            <w:tcW w:w="4957" w:type="dxa"/>
          </w:tcPr>
          <w:p w:rsidR="0010442C" w:rsidRPr="002303C2" w:rsidRDefault="0010442C" w:rsidP="00DA17F0">
            <w:pPr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Pharyngitis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0442C" w:rsidRPr="002303C2" w:rsidTr="00DA17F0">
        <w:tc>
          <w:tcPr>
            <w:tcW w:w="4957" w:type="dxa"/>
          </w:tcPr>
          <w:p w:rsidR="0010442C" w:rsidRPr="002303C2" w:rsidRDefault="0010442C" w:rsidP="00DA17F0">
            <w:pPr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Puerperal sepsis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442C" w:rsidRPr="002303C2" w:rsidTr="00DA17F0">
        <w:tc>
          <w:tcPr>
            <w:tcW w:w="4957" w:type="dxa"/>
          </w:tcPr>
          <w:p w:rsidR="0010442C" w:rsidRPr="002303C2" w:rsidRDefault="0010442C" w:rsidP="00DA17F0">
            <w:pPr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Pyelonephritis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0442C" w:rsidRPr="002303C2" w:rsidTr="00DA17F0">
        <w:tc>
          <w:tcPr>
            <w:tcW w:w="4957" w:type="dxa"/>
          </w:tcPr>
          <w:p w:rsidR="0010442C" w:rsidRPr="002303C2" w:rsidRDefault="0010442C" w:rsidP="00DA17F0">
            <w:pPr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Pyomyositis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0442C" w:rsidRPr="002303C2" w:rsidTr="00DA17F0">
        <w:tc>
          <w:tcPr>
            <w:tcW w:w="4957" w:type="dxa"/>
          </w:tcPr>
          <w:p w:rsidR="0010442C" w:rsidRPr="002303C2" w:rsidRDefault="0010442C" w:rsidP="00DA17F0">
            <w:pPr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Septic arthritis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0442C" w:rsidRPr="002303C2" w:rsidTr="00DA17F0">
        <w:tc>
          <w:tcPr>
            <w:tcW w:w="4957" w:type="dxa"/>
          </w:tcPr>
          <w:p w:rsidR="0010442C" w:rsidRPr="002303C2" w:rsidRDefault="0010442C" w:rsidP="00DA17F0">
            <w:pPr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Septicaemia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442C" w:rsidRPr="002303C2" w:rsidTr="00DA17F0">
        <w:tc>
          <w:tcPr>
            <w:tcW w:w="4957" w:type="dxa"/>
          </w:tcPr>
          <w:p w:rsidR="0010442C" w:rsidRPr="002303C2" w:rsidRDefault="0010442C" w:rsidP="00DA17F0">
            <w:pPr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Submandibular abscess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0442C" w:rsidRPr="002303C2" w:rsidTr="00DA17F0">
        <w:tc>
          <w:tcPr>
            <w:tcW w:w="4957" w:type="dxa"/>
          </w:tcPr>
          <w:p w:rsidR="0010442C" w:rsidRPr="002303C2" w:rsidRDefault="0010442C" w:rsidP="00DA17F0">
            <w:pPr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Urinary tract infection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1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442C" w:rsidRPr="002303C2" w:rsidTr="00DA17F0">
        <w:tc>
          <w:tcPr>
            <w:tcW w:w="4957" w:type="dxa"/>
          </w:tcPr>
          <w:p w:rsidR="0010442C" w:rsidRPr="002303C2" w:rsidRDefault="0010442C" w:rsidP="00DA17F0">
            <w:pPr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Tracheobronchitis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0442C" w:rsidRPr="002303C2" w:rsidTr="00DA17F0">
        <w:tc>
          <w:tcPr>
            <w:tcW w:w="4957" w:type="dxa"/>
          </w:tcPr>
          <w:p w:rsidR="0010442C" w:rsidRPr="002303C2" w:rsidRDefault="0010442C" w:rsidP="00DA17F0">
            <w:pPr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Chronic unexplained diarrhoea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0442C" w:rsidRPr="002303C2" w:rsidTr="00DA17F0">
        <w:tc>
          <w:tcPr>
            <w:tcW w:w="4957" w:type="dxa"/>
          </w:tcPr>
          <w:p w:rsidR="0010442C" w:rsidRPr="002303C2" w:rsidRDefault="0010442C" w:rsidP="00DA17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3C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3C2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3C2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941" w:type="dxa"/>
          </w:tcPr>
          <w:p w:rsidR="0010442C" w:rsidRPr="002303C2" w:rsidRDefault="0010442C" w:rsidP="00DA17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3C2"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</w:tr>
    </w:tbl>
    <w:p w:rsidR="0010442C" w:rsidRDefault="0010442C" w:rsidP="0010442C">
      <w:pPr>
        <w:widowControl w:val="0"/>
        <w:autoSpaceDE w:val="0"/>
        <w:autoSpaceDN w:val="0"/>
        <w:adjustRightInd w:val="0"/>
        <w:spacing w:before="66" w:after="0" w:line="240" w:lineRule="auto"/>
        <w:ind w:left="100"/>
        <w:rPr>
          <w:rFonts w:ascii="Times New Roman" w:hAnsi="Times New Roman"/>
          <w:b/>
          <w:bCs/>
          <w:sz w:val="24"/>
          <w:szCs w:val="24"/>
        </w:rPr>
      </w:pPr>
    </w:p>
    <w:p w:rsidR="0010442C" w:rsidRDefault="0010442C" w:rsidP="0010442C">
      <w:pPr>
        <w:widowControl w:val="0"/>
        <w:autoSpaceDE w:val="0"/>
        <w:autoSpaceDN w:val="0"/>
        <w:adjustRightInd w:val="0"/>
        <w:spacing w:before="66" w:after="0" w:line="240" w:lineRule="auto"/>
        <w:ind w:left="100"/>
        <w:rPr>
          <w:rFonts w:ascii="Times New Roman" w:hAnsi="Times New Roman"/>
          <w:b/>
          <w:bCs/>
          <w:sz w:val="24"/>
          <w:szCs w:val="24"/>
        </w:rPr>
      </w:pPr>
    </w:p>
    <w:p w:rsidR="0010442C" w:rsidRDefault="0010442C" w:rsidP="0010442C">
      <w:pPr>
        <w:widowControl w:val="0"/>
        <w:autoSpaceDE w:val="0"/>
        <w:autoSpaceDN w:val="0"/>
        <w:adjustRightInd w:val="0"/>
        <w:spacing w:before="66" w:after="0" w:line="240" w:lineRule="auto"/>
        <w:ind w:left="100"/>
        <w:rPr>
          <w:rFonts w:ascii="Times New Roman" w:hAnsi="Times New Roman"/>
          <w:b/>
          <w:bCs/>
          <w:sz w:val="24"/>
          <w:szCs w:val="24"/>
        </w:rPr>
      </w:pPr>
    </w:p>
    <w:p w:rsidR="006B0588" w:rsidRDefault="006B0588"/>
    <w:sectPr w:rsidR="006B0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2C"/>
    <w:rsid w:val="0010442C"/>
    <w:rsid w:val="002A4AC9"/>
    <w:rsid w:val="0065539D"/>
    <w:rsid w:val="00670296"/>
    <w:rsid w:val="006B0588"/>
    <w:rsid w:val="00A07F3E"/>
    <w:rsid w:val="00A4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C3F8"/>
  <w15:chartTrackingRefBased/>
  <w15:docId w15:val="{BAAC4D42-1BF0-465D-B64E-0C1EBA7A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42C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1044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0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Zacchaeus Anywaine</dc:creator>
  <cp:keywords/>
  <dc:description/>
  <cp:lastModifiedBy>Zacchaeus Anywaine</cp:lastModifiedBy>
  <cp:revision>6</cp:revision>
  <dcterms:created xsi:type="dcterms:W3CDTF">2018-06-26T23:04:00Z</dcterms:created>
  <dcterms:modified xsi:type="dcterms:W3CDTF">2018-11-14T17:46:00Z</dcterms:modified>
</cp:coreProperties>
</file>