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A8" w:rsidRDefault="009A0E22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S2</w:t>
      </w:r>
      <w:r w:rsidR="006B3544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</w:t>
      </w:r>
      <w:r w:rsidR="006B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b/>
          <w:sz w:val="20"/>
          <w:szCs w:val="20"/>
        </w:rPr>
        <w:t xml:space="preserve"> Sensitivity </w:t>
      </w:r>
      <w:r>
        <w:rPr>
          <w:rFonts w:ascii="Arial" w:hAnsi="Arial" w:cs="Arial" w:hint="eastAsia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nalyses of </w:t>
      </w:r>
      <w:r>
        <w:rPr>
          <w:rFonts w:ascii="Arial" w:hAnsi="Arial" w:cs="Arial" w:hint="eastAsia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idney </w:t>
      </w:r>
      <w:r>
        <w:rPr>
          <w:rFonts w:ascii="Arial" w:hAnsi="Arial" w:cs="Arial" w:hint="eastAsia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unction</w:t>
      </w:r>
    </w:p>
    <w:tbl>
      <w:tblPr>
        <w:tblStyle w:val="a9"/>
        <w:tblpPr w:leftFromText="180" w:rightFromText="180" w:vertAnchor="text" w:horzAnchor="page" w:tblpX="1667" w:tblpY="186"/>
        <w:tblW w:w="1257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850"/>
        <w:gridCol w:w="568"/>
        <w:gridCol w:w="453"/>
        <w:gridCol w:w="255"/>
        <w:gridCol w:w="1123"/>
        <w:gridCol w:w="11"/>
        <w:gridCol w:w="240"/>
        <w:gridCol w:w="34"/>
        <w:gridCol w:w="11"/>
        <w:gridCol w:w="947"/>
        <w:gridCol w:w="567"/>
        <w:gridCol w:w="357"/>
        <w:gridCol w:w="352"/>
        <w:gridCol w:w="1265"/>
        <w:gridCol w:w="11"/>
        <w:gridCol w:w="225"/>
        <w:gridCol w:w="11"/>
        <w:gridCol w:w="850"/>
        <w:gridCol w:w="709"/>
        <w:gridCol w:w="723"/>
        <w:gridCol w:w="1252"/>
        <w:gridCol w:w="11"/>
        <w:gridCol w:w="37"/>
      </w:tblGrid>
      <w:tr w:rsidR="006617A8">
        <w:trPr>
          <w:gridAfter w:val="2"/>
          <w:wAfter w:w="48" w:type="dxa"/>
          <w:trHeight w:val="255"/>
        </w:trPr>
        <w:tc>
          <w:tcPr>
            <w:tcW w:w="171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9" w:type="dxa"/>
            <w:gridSpan w:val="5"/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idney failure events</w:t>
            </w:r>
          </w:p>
        </w:tc>
        <w:tc>
          <w:tcPr>
            <w:tcW w:w="285" w:type="dxa"/>
            <w:gridSpan w:val="3"/>
            <w:tcBorders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9" w:type="dxa"/>
            <w:gridSpan w:val="6"/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eGFR</w:t>
            </w:r>
            <w:proofErr w:type="spellEnd"/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proteinuria</w:t>
            </w:r>
          </w:p>
        </w:tc>
      </w:tr>
      <w:tr w:rsidR="006617A8">
        <w:trPr>
          <w:gridAfter w:val="1"/>
          <w:wAfter w:w="37" w:type="dxa"/>
        </w:trPr>
        <w:tc>
          <w:tcPr>
            <w:tcW w:w="1711" w:type="dxa"/>
            <w:tcBorders>
              <w:top w:val="nil"/>
              <w:bottom w:val="single" w:sz="4" w:space="0" w:color="auto"/>
            </w:tcBorders>
            <w:vAlign w:val="center"/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n/No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95%CI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95%CI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95%CI</w:t>
            </w:r>
          </w:p>
        </w:tc>
      </w:tr>
      <w:tr w:rsidR="006617A8">
        <w:trPr>
          <w:gridAfter w:val="1"/>
          <w:wAfter w:w="37" w:type="dxa"/>
          <w:trHeight w:val="255"/>
        </w:trPr>
        <w:tc>
          <w:tcPr>
            <w:tcW w:w="1711" w:type="dxa"/>
            <w:tcBorders>
              <w:top w:val="single" w:sz="4" w:space="0" w:color="auto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</w:rPr>
              <w:t>Base-case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sz w:val="20"/>
                <w:szCs w:val="20"/>
              </w:rPr>
              <w:t>55/9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 w:hint="eastAsia"/>
                <w:sz w:val="20"/>
                <w:szCs w:val="20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0.8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sz w:val="20"/>
                <w:szCs w:val="20"/>
              </w:rPr>
              <w:t>/14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 w:hint="eastAsia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 w:hint="eastAsia"/>
                <w:sz w:val="20"/>
                <w:szCs w:val="20"/>
              </w:rPr>
              <w:t>93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870/10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0.2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-0.80,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-0.0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</w:tr>
      <w:tr w:rsidR="006617A8">
        <w:trPr>
          <w:gridAfter w:val="1"/>
          <w:wAfter w:w="37" w:type="dxa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等线" w:hAnsi="Arial" w:cs="Arial"/>
                <w:b/>
                <w:color w:val="000000" w:themeColor="text1"/>
                <w:kern w:val="0"/>
                <w:sz w:val="20"/>
                <w:szCs w:val="20"/>
              </w:rPr>
              <w:t>Omit sample</w:t>
            </w:r>
            <w:r>
              <w:rPr>
                <w:rFonts w:ascii="Arial" w:eastAsia="等线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size </w:t>
            </w:r>
            <w:r>
              <w:rPr>
                <w:rFonts w:ascii="Arial" w:eastAsia="等线" w:hAnsi="Arial" w:cs="Arial"/>
                <w:b/>
                <w:color w:val="000000" w:themeColor="text1"/>
                <w:kern w:val="0"/>
                <w:sz w:val="20"/>
                <w:szCs w:val="20"/>
              </w:rPr>
              <w:t xml:space="preserve">&lt; </w:t>
            </w:r>
            <w:r>
              <w:rPr>
                <w:rFonts w:ascii="Arial" w:eastAsia="等线" w:hAnsi="Arial" w:cs="Arial" w:hint="eastAsia"/>
                <w:b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55/9*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0.4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0.8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523/9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0.4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0.10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825/8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-0.3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-0.7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6,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-0.0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6617A8">
        <w:trPr>
          <w:gridAfter w:val="1"/>
          <w:wAfter w:w="37" w:type="dxa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</w:rPr>
              <w:t>Omit follow-up &lt; 12 months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sz w:val="20"/>
                <w:szCs w:val="20"/>
              </w:rPr>
              <w:t>55/9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 w:hint="eastAsia"/>
                <w:sz w:val="20"/>
                <w:szCs w:val="20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0.8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/12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 w:hint="eastAsia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 w:hint="eastAsia"/>
                <w:sz w:val="20"/>
                <w:szCs w:val="20"/>
              </w:rPr>
              <w:t>88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</w:t>
            </w:r>
            <w:r>
              <w:rPr>
                <w:rFonts w:ascii="Arial" w:hAnsi="Arial" w:cs="Arial" w:hint="eastAsia"/>
                <w:sz w:val="20"/>
                <w:szCs w:val="20"/>
              </w:rPr>
              <w:t>/9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0.2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-0.41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 -0.04</w:t>
            </w:r>
          </w:p>
        </w:tc>
      </w:tr>
      <w:tr w:rsidR="006617A8">
        <w:trPr>
          <w:gridAfter w:val="1"/>
          <w:wAfter w:w="37" w:type="dxa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</w:rPr>
              <w:t xml:space="preserve">Omit </w:t>
            </w:r>
            <w:proofErr w:type="spellStart"/>
            <w:r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</w:rPr>
              <w:t>Jadad</w:t>
            </w:r>
            <w:proofErr w:type="spellEnd"/>
            <w:r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</w:rPr>
              <w:t xml:space="preserve"> &lt; 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902/8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0.1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 w:hint="eastAsia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sz w:val="20"/>
                <w:szCs w:val="20"/>
              </w:rPr>
              <w:t>0.89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435/11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2.02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 w:hint="eastAsia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3.26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648/7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0.2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-0.24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-0.69, 0.21</w:t>
            </w:r>
          </w:p>
        </w:tc>
      </w:tr>
      <w:tr w:rsidR="006617A8">
        <w:tc>
          <w:tcPr>
            <w:tcW w:w="3582" w:type="dxa"/>
            <w:gridSpan w:val="4"/>
            <w:tcBorders>
              <w:top w:val="nil"/>
              <w:bottom w:val="nil"/>
            </w:tcBorders>
          </w:tcPr>
          <w:p w:rsidR="006617A8" w:rsidRDefault="009A0E22" w:rsidP="00F64969">
            <w:pPr>
              <w:widowControl/>
              <w:snapToGrid w:val="0"/>
              <w:ind w:rightChars="-29" w:right="-6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ifferent statistical methods</w:t>
            </w:r>
          </w:p>
        </w:tc>
        <w:tc>
          <w:tcPr>
            <w:tcW w:w="3545" w:type="dxa"/>
            <w:gridSpan w:val="9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6" w:type="dxa"/>
            <w:gridSpan w:val="11"/>
            <w:tcBorders>
              <w:top w:val="nil"/>
              <w:bottom w:val="nil"/>
            </w:tcBorders>
            <w:vAlign w:val="center"/>
          </w:tcPr>
          <w:p w:rsidR="006617A8" w:rsidRDefault="006617A8" w:rsidP="00F64969">
            <w:pPr>
              <w:widowControl/>
              <w:snapToGrid w:val="0"/>
              <w:ind w:rightChars="-29" w:right="-6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7A8">
        <w:trPr>
          <w:gridAfter w:val="1"/>
          <w:wAfter w:w="37" w:type="dxa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b/>
                <w:color w:val="000000"/>
                <w:kern w:val="0"/>
                <w:sz w:val="20"/>
                <w:szCs w:val="20"/>
              </w:rPr>
              <w:t>D-L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sz w:val="20"/>
                <w:szCs w:val="20"/>
              </w:rPr>
              <w:t>55/9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 w:hint="eastAsia"/>
                <w:sz w:val="20"/>
                <w:szCs w:val="20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0.8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sz w:val="20"/>
                <w:szCs w:val="20"/>
              </w:rPr>
              <w:t>/14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 w:hint="eastAsia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>, 2.</w:t>
            </w:r>
            <w:r>
              <w:rPr>
                <w:rFonts w:ascii="Arial" w:hAnsi="Arial" w:cs="Arial" w:hint="eastAsia"/>
                <w:sz w:val="20"/>
                <w:szCs w:val="20"/>
              </w:rPr>
              <w:t>93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870/10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0.2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-0.44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-0.80, -0.0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</w:tr>
      <w:tr w:rsidR="006617A8">
        <w:trPr>
          <w:gridAfter w:val="1"/>
          <w:wAfter w:w="37" w:type="dxa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REML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sz w:val="20"/>
                <w:szCs w:val="20"/>
              </w:rPr>
              <w:t>55/9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0.2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0.59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0.36, 0.95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sz w:val="20"/>
                <w:szCs w:val="20"/>
              </w:rPr>
              <w:t>/14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4.3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2.20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0.61, 3.77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870/10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0.6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-0.49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-1.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, 0.12</w:t>
            </w:r>
          </w:p>
        </w:tc>
      </w:tr>
      <w:tr w:rsidR="006617A8">
        <w:trPr>
          <w:gridAfter w:val="1"/>
          <w:wAfter w:w="37" w:type="dxa"/>
        </w:trPr>
        <w:tc>
          <w:tcPr>
            <w:tcW w:w="171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EB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sz w:val="20"/>
                <w:szCs w:val="20"/>
              </w:rPr>
              <w:t>55/9</w:t>
            </w:r>
          </w:p>
        </w:tc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0.2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0.57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0.35, 0.95</w:t>
            </w:r>
          </w:p>
        </w:tc>
        <w:tc>
          <w:tcPr>
            <w:tcW w:w="240" w:type="dxa"/>
            <w:tcBorders>
              <w:top w:val="nil"/>
              <w:bottom w:val="single" w:sz="4" w:space="0" w:color="000000" w:themeColor="text1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sz w:val="20"/>
                <w:szCs w:val="20"/>
              </w:rPr>
              <w:t>/14</w:t>
            </w: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4.0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2.18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0.63, 3.73</w:t>
            </w: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6617A8" w:rsidRDefault="006617A8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870/10</w:t>
            </w: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0.6</w:t>
            </w:r>
          </w:p>
        </w:tc>
        <w:tc>
          <w:tcPr>
            <w:tcW w:w="72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-0.49</w:t>
            </w:r>
          </w:p>
        </w:tc>
        <w:tc>
          <w:tcPr>
            <w:tcW w:w="1263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6617A8" w:rsidRDefault="009A0E22" w:rsidP="00F64969">
            <w:pPr>
              <w:widowControl/>
              <w:snapToGrid w:val="0"/>
              <w:ind w:rightChars="-29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-1.09, 0.11</w:t>
            </w:r>
          </w:p>
        </w:tc>
      </w:tr>
    </w:tbl>
    <w:p w:rsidR="006617A8" w:rsidRDefault="006617A8">
      <w:pPr>
        <w:rPr>
          <w:rFonts w:ascii="Arial" w:hAnsi="Arial" w:cs="Arial"/>
          <w:b/>
          <w:sz w:val="20"/>
          <w:szCs w:val="20"/>
        </w:rPr>
      </w:pPr>
    </w:p>
    <w:p w:rsidR="006617A8" w:rsidRDefault="006617A8">
      <w:pPr>
        <w:rPr>
          <w:rFonts w:ascii="Arial" w:hAnsi="Arial" w:cs="Arial"/>
          <w:b/>
          <w:sz w:val="20"/>
          <w:szCs w:val="20"/>
        </w:rPr>
      </w:pPr>
    </w:p>
    <w:p w:rsidR="006617A8" w:rsidRDefault="006617A8">
      <w:pPr>
        <w:rPr>
          <w:rFonts w:ascii="Arial" w:hAnsi="Arial" w:cs="Arial"/>
          <w:b/>
          <w:sz w:val="20"/>
          <w:szCs w:val="20"/>
        </w:rPr>
      </w:pPr>
    </w:p>
    <w:p w:rsidR="006617A8" w:rsidRDefault="006617A8">
      <w:pPr>
        <w:rPr>
          <w:rFonts w:ascii="Arial" w:hAnsi="Arial" w:cs="Arial"/>
          <w:b/>
          <w:sz w:val="20"/>
          <w:szCs w:val="20"/>
        </w:rPr>
      </w:pPr>
    </w:p>
    <w:p w:rsidR="006617A8" w:rsidRDefault="006617A8">
      <w:pPr>
        <w:rPr>
          <w:rFonts w:ascii="Arial" w:hAnsi="Arial" w:cs="Arial"/>
          <w:b/>
          <w:sz w:val="20"/>
          <w:szCs w:val="20"/>
        </w:rPr>
      </w:pPr>
    </w:p>
    <w:p w:rsidR="006617A8" w:rsidRDefault="006617A8">
      <w:pPr>
        <w:rPr>
          <w:rFonts w:ascii="Arial" w:hAnsi="Arial" w:cs="Arial"/>
          <w:b/>
          <w:sz w:val="20"/>
          <w:szCs w:val="20"/>
        </w:rPr>
      </w:pPr>
    </w:p>
    <w:p w:rsidR="006617A8" w:rsidRDefault="006617A8">
      <w:pPr>
        <w:rPr>
          <w:rFonts w:ascii="Arial" w:hAnsi="Arial" w:cs="Arial"/>
          <w:b/>
          <w:sz w:val="20"/>
          <w:szCs w:val="20"/>
        </w:rPr>
      </w:pPr>
    </w:p>
    <w:p w:rsidR="006617A8" w:rsidRDefault="006617A8">
      <w:pPr>
        <w:rPr>
          <w:rFonts w:ascii="Arial" w:hAnsi="Arial" w:cs="Arial"/>
          <w:b/>
          <w:sz w:val="20"/>
          <w:szCs w:val="20"/>
        </w:rPr>
      </w:pPr>
    </w:p>
    <w:p w:rsidR="006617A8" w:rsidRDefault="006617A8">
      <w:pPr>
        <w:rPr>
          <w:rFonts w:ascii="Arial" w:hAnsi="Arial" w:cs="Arial"/>
          <w:b/>
          <w:sz w:val="20"/>
          <w:szCs w:val="20"/>
        </w:rPr>
      </w:pPr>
    </w:p>
    <w:p w:rsidR="006617A8" w:rsidRDefault="006617A8">
      <w:pPr>
        <w:rPr>
          <w:rFonts w:ascii="Arial" w:hAnsi="Arial" w:cs="Arial"/>
          <w:b/>
          <w:sz w:val="20"/>
          <w:szCs w:val="20"/>
        </w:rPr>
      </w:pPr>
    </w:p>
    <w:p w:rsidR="006617A8" w:rsidRDefault="009A0E22">
      <w:pPr>
        <w:jc w:val="left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i/>
          <w:sz w:val="20"/>
          <w:szCs w:val="21"/>
        </w:rPr>
        <w:t xml:space="preserve">Note: </w:t>
      </w:r>
      <w:r>
        <w:rPr>
          <w:rFonts w:ascii="Arial" w:hAnsi="Arial" w:cs="Arial" w:hint="eastAsia"/>
          <w:sz w:val="20"/>
          <w:szCs w:val="21"/>
        </w:rPr>
        <w:t>* all the studies included had relatively large sample size more than 50. K</w:t>
      </w:r>
      <w:r>
        <w:rPr>
          <w:rFonts w:ascii="Arial" w:hAnsi="Arial" w:cs="Arial"/>
          <w:sz w:val="20"/>
          <w:szCs w:val="21"/>
        </w:rPr>
        <w:t>idney failure events was de</w:t>
      </w:r>
      <w:r>
        <w:rPr>
          <w:rFonts w:ascii="Arial" w:eastAsia="MS Gothic" w:hAnsi="Arial" w:cs="Arial"/>
          <w:sz w:val="20"/>
          <w:szCs w:val="21"/>
        </w:rPr>
        <w:t>ﬁ</w:t>
      </w:r>
      <w:r>
        <w:rPr>
          <w:rFonts w:ascii="Arial" w:hAnsi="Arial" w:cs="Arial"/>
          <w:sz w:val="20"/>
          <w:szCs w:val="21"/>
        </w:rPr>
        <w:t>ned as doubling of serum creatinine level or 50% decline in estimated GFR or end-stage renal disease. GFRs expressed in mL/min/1.73m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.</w:t>
      </w:r>
    </w:p>
    <w:p w:rsidR="006617A8" w:rsidRDefault="009A0E22">
      <w:pPr>
        <w:rPr>
          <w:b/>
        </w:rPr>
      </w:pPr>
      <w:r>
        <w:rPr>
          <w:rFonts w:ascii="Arial" w:hAnsi="Arial" w:cs="Arial"/>
          <w:sz w:val="20"/>
          <w:szCs w:val="21"/>
        </w:rPr>
        <w:t xml:space="preserve">Abbreviations: </w:t>
      </w:r>
      <w:proofErr w:type="spellStart"/>
      <w:r>
        <w:rPr>
          <w:rFonts w:ascii="Arial" w:hAnsi="Arial" w:cs="Arial"/>
          <w:sz w:val="20"/>
          <w:szCs w:val="21"/>
        </w:rPr>
        <w:t>eGFR</w:t>
      </w:r>
      <w:proofErr w:type="spellEnd"/>
      <w:r>
        <w:rPr>
          <w:rFonts w:ascii="Arial" w:hAnsi="Arial" w:cs="Arial"/>
          <w:sz w:val="20"/>
          <w:szCs w:val="21"/>
        </w:rPr>
        <w:t xml:space="preserve">, estimated glomerular filtration rate; n, number of patients; No. number of trials; </w:t>
      </w:r>
      <w:r>
        <w:rPr>
          <w:rFonts w:ascii="Arial" w:hAnsi="Arial" w:cs="Arial" w:hint="eastAsia"/>
          <w:sz w:val="20"/>
          <w:szCs w:val="21"/>
        </w:rPr>
        <w:t>O</w:t>
      </w:r>
      <w:r>
        <w:rPr>
          <w:rFonts w:ascii="Arial" w:hAnsi="Arial" w:cs="Arial"/>
          <w:sz w:val="20"/>
          <w:szCs w:val="21"/>
        </w:rPr>
        <w:t xml:space="preserve">R, </w:t>
      </w:r>
      <w:r>
        <w:rPr>
          <w:rFonts w:ascii="Arial" w:hAnsi="Arial" w:cs="Arial" w:hint="eastAsia"/>
          <w:sz w:val="20"/>
          <w:szCs w:val="21"/>
        </w:rPr>
        <w:t>odds ratio</w:t>
      </w:r>
      <w:r>
        <w:rPr>
          <w:rFonts w:ascii="Arial" w:hAnsi="Arial" w:cs="Arial"/>
          <w:sz w:val="20"/>
          <w:szCs w:val="21"/>
        </w:rPr>
        <w:t>; CI, confidence intervals; MD, mean difference; D</w:t>
      </w:r>
      <w:r>
        <w:rPr>
          <w:rFonts w:ascii="Arial" w:hAnsi="Arial" w:cs="Arial" w:hint="eastAsia"/>
          <w:sz w:val="20"/>
          <w:szCs w:val="21"/>
        </w:rPr>
        <w:t>-</w:t>
      </w:r>
      <w:r>
        <w:rPr>
          <w:rFonts w:ascii="Arial" w:hAnsi="Arial" w:cs="Arial"/>
          <w:sz w:val="20"/>
          <w:szCs w:val="21"/>
        </w:rPr>
        <w:t xml:space="preserve">L; </w:t>
      </w:r>
      <w:proofErr w:type="spellStart"/>
      <w:r>
        <w:rPr>
          <w:rFonts w:ascii="Arial" w:hAnsi="Arial" w:cs="Arial"/>
          <w:sz w:val="20"/>
          <w:szCs w:val="21"/>
        </w:rPr>
        <w:t>DerSimonian</w:t>
      </w:r>
      <w:proofErr w:type="spellEnd"/>
      <w:r>
        <w:rPr>
          <w:rFonts w:ascii="Arial" w:hAnsi="Arial" w:cs="Arial"/>
          <w:sz w:val="20"/>
          <w:szCs w:val="21"/>
        </w:rPr>
        <w:t>-Laird; REML, restricted maximum likelihood; EB, empirical Bayes.</w:t>
      </w:r>
    </w:p>
    <w:p w:rsidR="006617A8" w:rsidRDefault="006617A8">
      <w:pPr>
        <w:rPr>
          <w:rFonts w:ascii="Arial" w:hAnsi="Arial" w:cs="Arial"/>
          <w:b/>
          <w:sz w:val="20"/>
          <w:szCs w:val="20"/>
        </w:rPr>
      </w:pPr>
    </w:p>
    <w:p w:rsidR="006617A8" w:rsidRDefault="006617A8">
      <w:pPr>
        <w:spacing w:line="480" w:lineRule="auto"/>
        <w:rPr>
          <w:b/>
        </w:rPr>
      </w:pPr>
      <w:bookmarkStart w:id="0" w:name="_GoBack"/>
      <w:bookmarkEnd w:id="0"/>
    </w:p>
    <w:sectPr w:rsidR="006617A8">
      <w:footerReference w:type="default" r:id="rId10"/>
      <w:pgSz w:w="16838" w:h="11906" w:orient="landscape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B2" w:rsidRDefault="003642B2" w:rsidP="00F64969">
      <w:r>
        <w:separator/>
      </w:r>
    </w:p>
  </w:endnote>
  <w:endnote w:type="continuationSeparator" w:id="0">
    <w:p w:rsidR="003642B2" w:rsidRDefault="003642B2" w:rsidP="00F6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256107"/>
      <w:docPartObj>
        <w:docPartGallery w:val="Page Numbers (Bottom of Page)"/>
        <w:docPartUnique/>
      </w:docPartObj>
    </w:sdtPr>
    <w:sdtEndPr/>
    <w:sdtContent>
      <w:p w:rsidR="00F64969" w:rsidRDefault="00F649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544" w:rsidRPr="006B3544">
          <w:rPr>
            <w:noProof/>
            <w:lang w:val="zh-CN"/>
          </w:rPr>
          <w:t>1</w:t>
        </w:r>
        <w:r>
          <w:fldChar w:fldCharType="end"/>
        </w:r>
      </w:p>
    </w:sdtContent>
  </w:sdt>
  <w:p w:rsidR="00F64969" w:rsidRDefault="00F649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B2" w:rsidRDefault="003642B2" w:rsidP="00F64969">
      <w:r>
        <w:separator/>
      </w:r>
    </w:p>
  </w:footnote>
  <w:footnote w:type="continuationSeparator" w:id="0">
    <w:p w:rsidR="003642B2" w:rsidRDefault="003642B2" w:rsidP="00F6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303"/>
    <w:multiLevelType w:val="multilevel"/>
    <w:tmpl w:val="162F43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C27495"/>
    <w:multiLevelType w:val="multilevel"/>
    <w:tmpl w:val="2EC2749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D00424"/>
    <w:multiLevelType w:val="multilevel"/>
    <w:tmpl w:val="6AD00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6"/>
    <w:rsid w:val="00103C9E"/>
    <w:rsid w:val="00104012"/>
    <w:rsid w:val="0011348A"/>
    <w:rsid w:val="001561AB"/>
    <w:rsid w:val="001912D3"/>
    <w:rsid w:val="001C0AA6"/>
    <w:rsid w:val="00205058"/>
    <w:rsid w:val="002C24A2"/>
    <w:rsid w:val="002E4C8A"/>
    <w:rsid w:val="003243E0"/>
    <w:rsid w:val="003642B2"/>
    <w:rsid w:val="003656FE"/>
    <w:rsid w:val="003E7966"/>
    <w:rsid w:val="004619BD"/>
    <w:rsid w:val="00473C2B"/>
    <w:rsid w:val="00525A38"/>
    <w:rsid w:val="006569C3"/>
    <w:rsid w:val="006617A8"/>
    <w:rsid w:val="006B3544"/>
    <w:rsid w:val="006D5003"/>
    <w:rsid w:val="00775643"/>
    <w:rsid w:val="008075E2"/>
    <w:rsid w:val="00891235"/>
    <w:rsid w:val="00912016"/>
    <w:rsid w:val="00935F8C"/>
    <w:rsid w:val="009A0E22"/>
    <w:rsid w:val="009B5365"/>
    <w:rsid w:val="009F0D83"/>
    <w:rsid w:val="00A75397"/>
    <w:rsid w:val="00AE2C89"/>
    <w:rsid w:val="00D07C52"/>
    <w:rsid w:val="00EA1D28"/>
    <w:rsid w:val="00EC185D"/>
    <w:rsid w:val="00F64969"/>
    <w:rsid w:val="00FA789E"/>
    <w:rsid w:val="00FD30EE"/>
    <w:rsid w:val="77B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jc w:val="left"/>
      <w:outlineLvl w:val="0"/>
    </w:pPr>
    <w:rPr>
      <w:rFonts w:ascii="宋体" w:eastAsia="宋体" w:hAnsi="宋体" w:cs="Times New Roman" w:hint="eastAsia"/>
      <w:b/>
      <w:color w:val="555555"/>
      <w:kern w:val="44"/>
      <w:sz w:val="2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  <w:rPr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auto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rPr>
      <w:rFonts w:ascii="宋体" w:eastAsia="宋体" w:hAnsi="宋体" w:cs="Times New Roman"/>
      <w:b/>
      <w:color w:val="555555"/>
      <w:kern w:val="44"/>
      <w:sz w:val="20"/>
      <w:szCs w:val="20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99"/>
    <w:qFormat/>
    <w:pPr>
      <w:widowControl/>
      <w:ind w:firstLineChars="200" w:firstLine="420"/>
      <w:jc w:val="left"/>
    </w:pPr>
    <w:rPr>
      <w:rFonts w:asciiTheme="minorEastAsia" w:hAnsiTheme="minorEastAsia" w:cs="Times New Roman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tran">
    <w:name w:val="tr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文字 Char"/>
    <w:basedOn w:val="a0"/>
    <w:link w:val="a3"/>
    <w:uiPriority w:val="99"/>
    <w:semiHidden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jc w:val="left"/>
      <w:outlineLvl w:val="0"/>
    </w:pPr>
    <w:rPr>
      <w:rFonts w:ascii="宋体" w:eastAsia="宋体" w:hAnsi="宋体" w:cs="Times New Roman" w:hint="eastAsia"/>
      <w:b/>
      <w:color w:val="555555"/>
      <w:kern w:val="44"/>
      <w:sz w:val="2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  <w:rPr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auto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rPr>
      <w:rFonts w:ascii="宋体" w:eastAsia="宋体" w:hAnsi="宋体" w:cs="Times New Roman"/>
      <w:b/>
      <w:color w:val="555555"/>
      <w:kern w:val="44"/>
      <w:sz w:val="20"/>
      <w:szCs w:val="20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99"/>
    <w:qFormat/>
    <w:pPr>
      <w:widowControl/>
      <w:ind w:firstLineChars="200" w:firstLine="420"/>
      <w:jc w:val="left"/>
    </w:pPr>
    <w:rPr>
      <w:rFonts w:asciiTheme="minorEastAsia" w:hAnsiTheme="minorEastAsia" w:cs="Times New Roman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tran">
    <w:name w:val="tr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文字 Char"/>
    <w:basedOn w:val="a0"/>
    <w:link w:val="a3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793E9D-F84D-4B91-AA01-43C48B36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冰娟</dc:creator>
  <cp:lastModifiedBy>冰娟</cp:lastModifiedBy>
  <cp:revision>3</cp:revision>
  <dcterms:created xsi:type="dcterms:W3CDTF">2018-04-10T16:19:00Z</dcterms:created>
  <dcterms:modified xsi:type="dcterms:W3CDTF">2018-04-10T16:20:00Z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