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7D" w:rsidRPr="0070107D" w:rsidRDefault="0070107D" w:rsidP="0070107D">
      <w:pPr>
        <w:spacing w:line="240" w:lineRule="auto"/>
        <w:rPr>
          <w:rFonts w:asciiTheme="majorBidi" w:hAnsiTheme="majorBidi" w:cstheme="majorBidi"/>
          <w:b/>
          <w:sz w:val="21"/>
          <w:szCs w:val="20"/>
        </w:rPr>
      </w:pPr>
      <w:bookmarkStart w:id="0" w:name="_Toc499034864"/>
      <w:bookmarkStart w:id="1" w:name="_Toc499029897"/>
      <w:r w:rsidRPr="0070107D">
        <w:rPr>
          <w:rFonts w:asciiTheme="majorBidi" w:hAnsiTheme="majorBidi" w:cstheme="majorBidi"/>
          <w:b/>
          <w:sz w:val="21"/>
          <w:szCs w:val="20"/>
        </w:rPr>
        <w:t>S1 Table: Quality assessment of included studies</w:t>
      </w:r>
      <w:bookmarkEnd w:id="0"/>
    </w:p>
    <w:tbl>
      <w:tblPr>
        <w:tblW w:w="5383" w:type="pc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301"/>
        <w:gridCol w:w="1180"/>
        <w:gridCol w:w="1222"/>
        <w:gridCol w:w="1222"/>
        <w:gridCol w:w="1724"/>
        <w:gridCol w:w="1412"/>
        <w:gridCol w:w="1511"/>
        <w:gridCol w:w="1598"/>
        <w:gridCol w:w="1378"/>
      </w:tblGrid>
      <w:tr w:rsidR="00C141A1" w:rsidRPr="00C141A1" w:rsidTr="00C141A1">
        <w:trPr>
          <w:trHeight w:val="1164"/>
        </w:trPr>
        <w:tc>
          <w:tcPr>
            <w:tcW w:w="156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SN</w:t>
            </w:r>
          </w:p>
        </w:tc>
        <w:tc>
          <w:tcPr>
            <w:tcW w:w="1099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Studies</w:t>
            </w:r>
          </w:p>
        </w:tc>
        <w:tc>
          <w:tcPr>
            <w:tcW w:w="393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1. Were criteria for inclusion in the sample clearly defined?</w:t>
            </w:r>
          </w:p>
        </w:tc>
        <w:tc>
          <w:tcPr>
            <w:tcW w:w="407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2. Were the study subjects and the setting described in detail?</w:t>
            </w:r>
          </w:p>
        </w:tc>
        <w:tc>
          <w:tcPr>
            <w:tcW w:w="407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3. Was the exposure measured in a valid and reliable way?</w:t>
            </w:r>
          </w:p>
        </w:tc>
        <w:tc>
          <w:tcPr>
            <w:tcW w:w="574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4. Were objective, standard criteria used for measurement of the condition?</w:t>
            </w:r>
          </w:p>
        </w:tc>
        <w:tc>
          <w:tcPr>
            <w:tcW w:w="470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 xml:space="preserve">5. </w:t>
            </w:r>
            <w:proofErr w:type="spellStart"/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Were</w:t>
            </w:r>
            <w:proofErr w:type="spellEnd"/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 xml:space="preserve"> confounding factors identified?</w:t>
            </w:r>
          </w:p>
        </w:tc>
        <w:tc>
          <w:tcPr>
            <w:tcW w:w="503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6. Were strategies to deal with confounding factors stated?</w:t>
            </w:r>
          </w:p>
        </w:tc>
        <w:tc>
          <w:tcPr>
            <w:tcW w:w="532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7. Were the outcomes measured in a valid and reliable way?</w:t>
            </w:r>
          </w:p>
        </w:tc>
        <w:tc>
          <w:tcPr>
            <w:tcW w:w="459" w:type="pct"/>
            <w:shd w:val="clear" w:color="auto" w:fill="E7E6E6" w:themeFill="background2"/>
            <w:hideMark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b/>
                <w:bCs/>
                <w:sz w:val="19"/>
                <w:szCs w:val="19"/>
              </w:rPr>
              <w:t>8. Was appropriate statistical analysis used?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  <w:hideMark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Gao et al. [26]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326"/>
        </w:trPr>
        <w:tc>
          <w:tcPr>
            <w:tcW w:w="156" w:type="pct"/>
            <w:shd w:val="clear" w:color="auto" w:fill="auto"/>
            <w:noWrap/>
            <w:hideMark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2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Waidler et al. [28]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  <w:hideMark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3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Mosca and Barrett [30]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  <w:hideMark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4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Guo et al. [33]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vMerge w:val="restar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5</w:t>
            </w:r>
          </w:p>
        </w:tc>
        <w:tc>
          <w:tcPr>
            <w:tcW w:w="1099" w:type="pct"/>
            <w:shd w:val="clear" w:color="auto" w:fill="auto"/>
          </w:tcPr>
          <w:p w:rsidR="0070107D" w:rsidRPr="00C141A1" w:rsidRDefault="0070107D" w:rsidP="003435EE">
            <w:pPr>
              <w:spacing w:after="0" w:line="240" w:lineRule="auto"/>
              <w:jc w:val="left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Downer et al. [35]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vMerge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</w:p>
        </w:tc>
        <w:tc>
          <w:tcPr>
            <w:tcW w:w="1099" w:type="pct"/>
            <w:shd w:val="clear" w:color="auto" w:fill="auto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Antman [12]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  <w:hideMark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6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Chang et al. [38]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7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He et al. [41]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8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Böhme et al. [2</w:t>
            </w:r>
            <w:r w:rsidR="002E166A">
              <w:rPr>
                <w:rFonts w:asciiTheme="majorBidi" w:hAnsiTheme="majorBidi" w:cstheme="majorBidi"/>
                <w:noProof/>
                <w:sz w:val="19"/>
                <w:szCs w:val="19"/>
              </w:rPr>
              <w:t>2</w:t>
            </w: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9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Zhai et al. [43]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10</w:t>
            </w:r>
          </w:p>
        </w:tc>
        <w:tc>
          <w:tcPr>
            <w:tcW w:w="1099" w:type="pct"/>
            <w:shd w:val="clear" w:color="auto" w:fill="auto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Cheng et al. [45]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11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Liang and Wu [46]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12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Xie et al. [48]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Unclear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13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Sekhon and Minhas [49]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</w:tr>
      <w:tr w:rsidR="00C141A1" w:rsidRPr="00C141A1" w:rsidTr="00C141A1">
        <w:trPr>
          <w:trHeight w:val="326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14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Wang et al. [50]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15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Abas et al. [53]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16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Su et al. [55]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17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Adhikari et al. [56]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94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18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Sun et al. [57]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326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19</w:t>
            </w:r>
          </w:p>
        </w:tc>
        <w:tc>
          <w:tcPr>
            <w:tcW w:w="1099" w:type="pct"/>
            <w:shd w:val="clear" w:color="auto" w:fill="auto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 xml:space="preserve">Xie et al. [58] </w:t>
            </w:r>
          </w:p>
        </w:tc>
        <w:tc>
          <w:tcPr>
            <w:tcW w:w="39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  <w:hideMark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20</w:t>
            </w:r>
          </w:p>
        </w:tc>
        <w:tc>
          <w:tcPr>
            <w:tcW w:w="1099" w:type="pct"/>
            <w:shd w:val="clear" w:color="auto" w:fill="auto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Abas et al. [59]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21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shd w:val="clear" w:color="auto" w:fill="auto"/>
          </w:tcPr>
          <w:p w:rsidR="0070107D" w:rsidRPr="00C141A1" w:rsidRDefault="0070107D" w:rsidP="003435EE">
            <w:pPr>
              <w:tabs>
                <w:tab w:val="left" w:pos="1868"/>
              </w:tabs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Liu and Guo [60, 62]</w:t>
            </w: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ab/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249"/>
        </w:trPr>
        <w:tc>
          <w:tcPr>
            <w:tcW w:w="156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22</w:t>
            </w:r>
          </w:p>
        </w:tc>
        <w:tc>
          <w:tcPr>
            <w:tcW w:w="1099" w:type="pct"/>
            <w:shd w:val="clear" w:color="auto" w:fill="auto"/>
          </w:tcPr>
          <w:p w:rsidR="0070107D" w:rsidRPr="00C141A1" w:rsidRDefault="002E166A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>
              <w:rPr>
                <w:rFonts w:asciiTheme="majorBidi" w:hAnsiTheme="majorBidi" w:cstheme="majorBidi"/>
                <w:noProof/>
                <w:sz w:val="19"/>
                <w:szCs w:val="19"/>
              </w:rPr>
              <w:t>Liu et al. [18</w:t>
            </w:r>
            <w:bookmarkStart w:id="2" w:name="_GoBack"/>
            <w:bookmarkEnd w:id="2"/>
            <w:r w:rsidR="0070107D"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]</w:t>
            </w:r>
          </w:p>
        </w:tc>
        <w:tc>
          <w:tcPr>
            <w:tcW w:w="39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07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574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70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503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532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459" w:type="pct"/>
            <w:shd w:val="clear" w:color="auto" w:fill="auto"/>
            <w:noWrap/>
            <w:vAlign w:val="bottom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Yes</w:t>
            </w:r>
          </w:p>
        </w:tc>
      </w:tr>
      <w:tr w:rsidR="00C141A1" w:rsidRPr="00C141A1" w:rsidTr="00C141A1">
        <w:trPr>
          <w:trHeight w:val="309"/>
        </w:trPr>
        <w:tc>
          <w:tcPr>
            <w:tcW w:w="156" w:type="pct"/>
            <w:shd w:val="clear" w:color="auto" w:fill="auto"/>
            <w:noWrap/>
            <w:hideMark/>
          </w:tcPr>
          <w:p w:rsidR="0070107D" w:rsidRPr="00C141A1" w:rsidRDefault="0070107D" w:rsidP="003435E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sz w:val="19"/>
                <w:szCs w:val="19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23</w:t>
            </w:r>
          </w:p>
        </w:tc>
        <w:tc>
          <w:tcPr>
            <w:tcW w:w="1099" w:type="pct"/>
            <w:shd w:val="clear" w:color="auto" w:fill="auto"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  <w:noProof/>
                <w:sz w:val="19"/>
                <w:szCs w:val="19"/>
              </w:rPr>
            </w:pPr>
            <w:r w:rsidRPr="00C141A1">
              <w:rPr>
                <w:rFonts w:asciiTheme="majorBidi" w:hAnsiTheme="majorBidi" w:cstheme="majorBidi"/>
                <w:noProof/>
                <w:sz w:val="19"/>
                <w:szCs w:val="19"/>
              </w:rPr>
              <w:t>Miltiades [64]</w:t>
            </w:r>
          </w:p>
        </w:tc>
        <w:tc>
          <w:tcPr>
            <w:tcW w:w="393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407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407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574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470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503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532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  <w:tc>
          <w:tcPr>
            <w:tcW w:w="459" w:type="pct"/>
            <w:shd w:val="clear" w:color="auto" w:fill="auto"/>
            <w:noWrap/>
          </w:tcPr>
          <w:p w:rsidR="0070107D" w:rsidRPr="00C141A1" w:rsidRDefault="0070107D" w:rsidP="003435EE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C141A1">
              <w:rPr>
                <w:rFonts w:asciiTheme="majorBidi" w:eastAsia="Times New Roman" w:hAnsiTheme="majorBidi" w:cstheme="majorBidi"/>
                <w:sz w:val="19"/>
                <w:szCs w:val="19"/>
              </w:rPr>
              <w:t>NA</w:t>
            </w:r>
          </w:p>
        </w:tc>
      </w:tr>
      <w:bookmarkEnd w:id="1"/>
    </w:tbl>
    <w:p w:rsidR="00E00DAA" w:rsidRDefault="00E00DAA"/>
    <w:sectPr w:rsidR="00E00DAA" w:rsidSect="0070107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7D"/>
    <w:rsid w:val="00096B74"/>
    <w:rsid w:val="001462CF"/>
    <w:rsid w:val="002E166A"/>
    <w:rsid w:val="00522D4B"/>
    <w:rsid w:val="006D51F4"/>
    <w:rsid w:val="0070107D"/>
    <w:rsid w:val="00962117"/>
    <w:rsid w:val="00C141A1"/>
    <w:rsid w:val="00E0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7F80"/>
  <w15:chartTrackingRefBased/>
  <w15:docId w15:val="{34909463-1802-42FE-B089-70DFDAE7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07D"/>
    <w:pPr>
      <w:spacing w:after="120"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107D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107D"/>
    <w:rPr>
      <w:rFonts w:ascii="Times New Roman" w:eastAsiaTheme="majorEastAsia" w:hAnsi="Times New Roman" w:cstheme="majorBidi"/>
      <w:b/>
      <w:sz w:val="36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70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Deependra Thapa</dc:creator>
  <cp:keywords/>
  <dc:description/>
  <cp:lastModifiedBy>Deependra Thapa</cp:lastModifiedBy>
  <cp:revision>3</cp:revision>
  <dcterms:created xsi:type="dcterms:W3CDTF">2018-10-02T23:53:00Z</dcterms:created>
  <dcterms:modified xsi:type="dcterms:W3CDTF">2018-10-03T00:03:00Z</dcterms:modified>
</cp:coreProperties>
</file>