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A35D0" w14:textId="024BFE23" w:rsidR="00E635DB" w:rsidRPr="006863AD" w:rsidRDefault="006863AD" w:rsidP="006863AD">
      <w:pPr>
        <w:pStyle w:val="Heading1"/>
      </w:pPr>
      <w:r w:rsidRPr="006863AD">
        <w:t>Supporting information</w:t>
      </w:r>
    </w:p>
    <w:p w14:paraId="4B60A816" w14:textId="096414F4" w:rsidR="004C2456" w:rsidRPr="004C2456" w:rsidRDefault="004C2456" w:rsidP="004C2456">
      <w:pPr>
        <w:pStyle w:val="Caption"/>
        <w:keepNext w:val="0"/>
        <w:rPr>
          <w:b w:val="0"/>
          <w:sz w:val="24"/>
          <w:szCs w:val="24"/>
        </w:rPr>
      </w:pPr>
      <w:proofErr w:type="gramStart"/>
      <w:r>
        <w:rPr>
          <w:rStyle w:val="Heading2Char"/>
          <w:b/>
          <w:sz w:val="24"/>
          <w:szCs w:val="24"/>
        </w:rPr>
        <w:t>S3 Table.</w:t>
      </w:r>
      <w:proofErr w:type="gramEnd"/>
      <w:r w:rsidRPr="004C2456">
        <w:rPr>
          <w:sz w:val="24"/>
          <w:szCs w:val="24"/>
        </w:rPr>
        <w:t xml:space="preserve"> Maternal marital status adjusted for adult socioeconomic position (SEP).</w:t>
      </w:r>
      <w:r w:rsidRPr="004C2456">
        <w:rPr>
          <w:b w:val="0"/>
          <w:sz w:val="24"/>
          <w:szCs w:val="24"/>
        </w:rPr>
        <w:t xml:space="preserve"> Crude and Adjusted Results from Linear Regression Analyses of the Association between Maternal Marital Status and Physical Capability Measures in Late-Middle Age Presented According to Sex where Statistically Significant Interactions were </w:t>
      </w:r>
      <w:proofErr w:type="gramStart"/>
      <w:r w:rsidRPr="004C2456">
        <w:rPr>
          <w:b w:val="0"/>
          <w:sz w:val="24"/>
          <w:szCs w:val="24"/>
        </w:rPr>
        <w:t>Observed</w:t>
      </w:r>
      <w:proofErr w:type="gramEnd"/>
      <w:r w:rsidRPr="004C2456">
        <w:rPr>
          <w:b w:val="0"/>
          <w:sz w:val="24"/>
          <w:szCs w:val="24"/>
        </w:rPr>
        <w:t xml:space="preserve">. Participants from the </w:t>
      </w:r>
      <w:proofErr w:type="spellStart"/>
      <w:r w:rsidRPr="004C2456">
        <w:rPr>
          <w:b w:val="0"/>
          <w:sz w:val="24"/>
          <w:szCs w:val="24"/>
        </w:rPr>
        <w:t>Metropolit</w:t>
      </w:r>
      <w:proofErr w:type="spellEnd"/>
      <w:r w:rsidRPr="004C2456">
        <w:rPr>
          <w:b w:val="0"/>
          <w:sz w:val="24"/>
          <w:szCs w:val="24"/>
        </w:rPr>
        <w:t xml:space="preserve"> Cohort (Boys born in 1953) and Copenhagen Perinatal Cohort (Boys and Girls Born in 1959-1961) who Participated in the Copenhagen Aging and Midlife </w:t>
      </w:r>
      <w:proofErr w:type="spellStart"/>
      <w:r w:rsidRPr="004C2456">
        <w:rPr>
          <w:b w:val="0"/>
          <w:sz w:val="24"/>
          <w:szCs w:val="24"/>
        </w:rPr>
        <w:t>Biobank</w:t>
      </w:r>
      <w:proofErr w:type="spellEnd"/>
      <w:r w:rsidRPr="004C2456">
        <w:rPr>
          <w:b w:val="0"/>
          <w:sz w:val="24"/>
          <w:szCs w:val="24"/>
        </w:rPr>
        <w:t xml:space="preserve"> 2009-2011, Denmark.</w:t>
      </w:r>
    </w:p>
    <w:tbl>
      <w:tblPr>
        <w:tblW w:w="1317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7"/>
        <w:gridCol w:w="1195"/>
        <w:gridCol w:w="627"/>
        <w:gridCol w:w="1235"/>
        <w:gridCol w:w="1630"/>
        <w:gridCol w:w="1235"/>
        <w:gridCol w:w="1407"/>
        <w:gridCol w:w="1235"/>
        <w:gridCol w:w="2197"/>
      </w:tblGrid>
      <w:tr w:rsidR="00500751" w:rsidRPr="00E635DB" w14:paraId="07A5A49A" w14:textId="77777777" w:rsidTr="004C2456">
        <w:trPr>
          <w:trHeight w:val="288"/>
        </w:trPr>
        <w:tc>
          <w:tcPr>
            <w:tcW w:w="3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27D5831" w14:textId="77777777" w:rsidR="00500751" w:rsidRPr="00E635DB" w:rsidRDefault="00500751" w:rsidP="004C2456">
            <w:pPr>
              <w:rPr>
                <w:sz w:val="24"/>
                <w:szCs w:val="24"/>
                <w:lang w:eastAsia="da-DK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DACFABB" w14:textId="77777777" w:rsidR="00500751" w:rsidRPr="00E635DB" w:rsidRDefault="00500751" w:rsidP="004C2456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01BDB36" w14:textId="77777777" w:rsidR="00500751" w:rsidRPr="00E635DB" w:rsidRDefault="00500751" w:rsidP="004C2456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Crude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B56315" w14:textId="77777777" w:rsidR="00500751" w:rsidRPr="00E635DB" w:rsidRDefault="00500751" w:rsidP="004C2456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Adjusted for cohort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4A70CDF" w14:textId="34D26251" w:rsidR="00500751" w:rsidRPr="00E635DB" w:rsidRDefault="00500751" w:rsidP="004C2456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Ad</w:t>
            </w:r>
            <w:r w:rsidR="001F376B" w:rsidRPr="00E635DB">
              <w:rPr>
                <w:sz w:val="24"/>
                <w:szCs w:val="24"/>
                <w:lang w:eastAsia="da-DK"/>
              </w:rPr>
              <w:t>justed for cohort and adult SEP</w:t>
            </w:r>
          </w:p>
        </w:tc>
      </w:tr>
      <w:tr w:rsidR="00500751" w:rsidRPr="00E635DB" w14:paraId="7CDD01A2" w14:textId="77777777" w:rsidTr="004C2456">
        <w:trPr>
          <w:trHeight w:val="288"/>
        </w:trPr>
        <w:tc>
          <w:tcPr>
            <w:tcW w:w="361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D077892" w14:textId="77777777" w:rsidR="00500751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5A12" w14:textId="77777777" w:rsidR="00500751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N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4712" w14:textId="16CF5FD8" w:rsidR="00500751" w:rsidRPr="00E635DB" w:rsidRDefault="00500751" w:rsidP="00500751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β</w:t>
            </w:r>
            <w:r w:rsidR="003C35C2">
              <w:rPr>
                <w:sz w:val="24"/>
                <w:szCs w:val="24"/>
                <w:vertAlign w:val="superscript"/>
                <w:lang w:eastAsia="da-DK"/>
              </w:rPr>
              <w:t>a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51E8" w14:textId="467E40F3" w:rsidR="00500751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95% CI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1F5A" w14:textId="0D58A19C" w:rsidR="00500751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β</w:t>
            </w:r>
            <w:r w:rsidR="003C35C2">
              <w:rPr>
                <w:sz w:val="24"/>
                <w:szCs w:val="24"/>
                <w:vertAlign w:val="superscript"/>
                <w:lang w:eastAsia="da-DK"/>
              </w:rPr>
              <w:t>a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9305" w14:textId="68CF231A" w:rsidR="00500751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95% CI</w:t>
            </w:r>
          </w:p>
        </w:tc>
        <w:tc>
          <w:tcPr>
            <w:tcW w:w="1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D9B1" w14:textId="5893C7C1" w:rsidR="00500751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β</w:t>
            </w:r>
            <w:r w:rsidR="003C35C2">
              <w:rPr>
                <w:sz w:val="24"/>
                <w:szCs w:val="24"/>
                <w:vertAlign w:val="superscript"/>
                <w:lang w:eastAsia="da-DK"/>
              </w:rPr>
              <w:t>a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41F4" w14:textId="2D4256DA" w:rsidR="00500751" w:rsidRPr="00E635DB" w:rsidRDefault="00500751" w:rsidP="00500751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95% CI</w:t>
            </w:r>
          </w:p>
        </w:tc>
      </w:tr>
      <w:tr w:rsidR="006F054A" w:rsidRPr="00E635DB" w14:paraId="43F17F1E" w14:textId="77777777" w:rsidTr="004C2456">
        <w:trPr>
          <w:trHeight w:val="288"/>
        </w:trPr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9571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Balance, cm²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5F7F9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Married</w:t>
            </w:r>
          </w:p>
        </w:tc>
        <w:tc>
          <w:tcPr>
            <w:tcW w:w="62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092F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3282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487C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92EB" w14:textId="450743D6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 xml:space="preserve">reference 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AFE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AFE6" w14:textId="7DBBE314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B4A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3C77" w14:textId="2C036DB4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</w:tr>
      <w:tr w:rsidR="006F054A" w:rsidRPr="00E635DB" w14:paraId="2805A18E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22A66C3B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592CE1A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Unmarried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4BF99DE7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645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22B7452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0.91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181A399F" w14:textId="082104D8" w:rsidR="006F054A" w:rsidRPr="00E635DB" w:rsidRDefault="006F054A" w:rsidP="00500751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0.87</w:t>
            </w:r>
            <w:r w:rsidR="00500751" w:rsidRPr="00E635DB">
              <w:rPr>
                <w:sz w:val="24"/>
                <w:szCs w:val="24"/>
                <w:lang w:eastAsia="da-DK"/>
              </w:rPr>
              <w:t>, 0.95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1213558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1.02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2084DBB" w14:textId="0FB3A127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0.97, 1.07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39AD3D5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1.00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65BD3E23" w14:textId="7510BC94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0.96, 1.05</w:t>
            </w:r>
          </w:p>
        </w:tc>
      </w:tr>
      <w:tr w:rsidR="006F054A" w:rsidRPr="00E635DB" w14:paraId="0D836836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7B137A15" w14:textId="7B3EBF5F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Flexibility,</w:t>
            </w:r>
            <w:r w:rsidR="00500751" w:rsidRPr="00E635DB">
              <w:rPr>
                <w:sz w:val="24"/>
                <w:szCs w:val="24"/>
                <w:lang w:eastAsia="da-DK"/>
              </w:rPr>
              <w:t xml:space="preserve"> </w:t>
            </w:r>
            <w:r w:rsidRPr="00E635DB">
              <w:rPr>
                <w:sz w:val="24"/>
                <w:szCs w:val="24"/>
                <w:lang w:eastAsia="da-DK"/>
              </w:rPr>
              <w:t>cm</w:t>
            </w:r>
            <w:r w:rsidR="00500751" w:rsidRPr="00E635DB">
              <w:rPr>
                <w:sz w:val="24"/>
                <w:szCs w:val="24"/>
                <w:lang w:eastAsia="da-DK"/>
              </w:rPr>
              <w:t xml:space="preserve"> (men only)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53F6BFE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D1ECC8F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2459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19A6943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1BC4E49E" w14:textId="151D072A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B833A7E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467E8DA" w14:textId="1A945A66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15CB2CF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1C449135" w14:textId="485CC3E3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</w:tr>
      <w:tr w:rsidR="006F054A" w:rsidRPr="00E635DB" w14:paraId="32489F61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05419DD0" w14:textId="3C78E5CB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14FDEE6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Unmarried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026E915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305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FC8A810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-0.97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2FE45B0F" w14:textId="747D3258" w:rsidR="006F054A" w:rsidRPr="00E635DB" w:rsidRDefault="006F054A" w:rsidP="00500751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-2.26</w:t>
            </w:r>
            <w:r w:rsidR="00500751" w:rsidRPr="00E635DB">
              <w:rPr>
                <w:sz w:val="24"/>
                <w:szCs w:val="24"/>
                <w:lang w:eastAsia="da-DK"/>
              </w:rPr>
              <w:t>, 0.33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68621D8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-0.81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2CD3BAD" w14:textId="62042A52" w:rsidR="006F054A" w:rsidRPr="00E635DB" w:rsidRDefault="006F054A" w:rsidP="00500751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-2.19</w:t>
            </w:r>
            <w:r w:rsidR="00500751" w:rsidRPr="00E635DB">
              <w:rPr>
                <w:sz w:val="24"/>
                <w:szCs w:val="24"/>
                <w:lang w:eastAsia="da-DK"/>
              </w:rPr>
              <w:t>, 0.57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6773E61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-0.89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37A0E39C" w14:textId="6B1718B5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-2.28, 0.50</w:t>
            </w:r>
          </w:p>
        </w:tc>
      </w:tr>
      <w:tr w:rsidR="006F054A" w:rsidRPr="00E635DB" w14:paraId="41979210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27171F8F" w14:textId="36912799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Flexibility,</w:t>
            </w:r>
            <w:r w:rsidR="00500751" w:rsidRPr="00E635DB">
              <w:rPr>
                <w:sz w:val="24"/>
                <w:szCs w:val="24"/>
                <w:lang w:eastAsia="da-DK"/>
              </w:rPr>
              <w:t xml:space="preserve"> </w:t>
            </w:r>
            <w:r w:rsidRPr="00E635DB">
              <w:rPr>
                <w:sz w:val="24"/>
                <w:szCs w:val="24"/>
                <w:lang w:eastAsia="da-DK"/>
              </w:rPr>
              <w:t>cm</w:t>
            </w:r>
            <w:r w:rsidR="00500751" w:rsidRPr="00E635DB">
              <w:rPr>
                <w:sz w:val="24"/>
                <w:szCs w:val="24"/>
                <w:lang w:eastAsia="da-DK"/>
              </w:rPr>
              <w:t xml:space="preserve"> (women only)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3D228A30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11C3A16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566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2ED5859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46634000" w14:textId="0CBC684A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89B0887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1EA31CA7" w14:textId="32F99A9A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28F04F0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73BD55F5" w14:textId="248AF093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</w:tr>
      <w:tr w:rsidR="006F054A" w:rsidRPr="00E635DB" w14:paraId="012C518D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6ECB459A" w14:textId="79A8E276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73A2454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Unmarried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C9055E6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268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83C38EA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1.75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2960331D" w14:textId="54362CFC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0.36, 3.14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A95ABA9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1.75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0AE76138" w14:textId="15C77DF1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0.36, 3.14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9894741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1.39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527F855E" w14:textId="54526099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-0.06, 2.84</w:t>
            </w:r>
          </w:p>
        </w:tc>
      </w:tr>
      <w:tr w:rsidR="006F054A" w:rsidRPr="00E635DB" w14:paraId="7129B2EA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1C413F01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Jump height, cm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E1AC65C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43870DB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2949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44E50F1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7B842BC4" w14:textId="013C0F5F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88FEA54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41D502F" w14:textId="78266C6D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39A19B4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59D8E72E" w14:textId="751A8549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</w:tr>
      <w:tr w:rsidR="006F054A" w:rsidRPr="00E635DB" w14:paraId="05D2083D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67C1A7BA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B4C79FE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Unmarried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FF0BC93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546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17F08D4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-1.52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2182740D" w14:textId="2E06D5DA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-2.02, -1.01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4AAD1B1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-0.54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83B4B44" w14:textId="49E63F7A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-1.07, -0.02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5C352FC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-0.22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51535ADF" w14:textId="6E38904D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-0.75, 0.31</w:t>
            </w:r>
          </w:p>
        </w:tc>
      </w:tr>
      <w:tr w:rsidR="006F054A" w:rsidRPr="00E635DB" w14:paraId="7B0E018B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6592BCDD" w14:textId="31409094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Lower back force, N</w:t>
            </w:r>
            <w:r w:rsidR="00500751" w:rsidRPr="00E635DB">
              <w:rPr>
                <w:sz w:val="24"/>
                <w:szCs w:val="24"/>
                <w:lang w:eastAsia="da-DK"/>
              </w:rPr>
              <w:t>ewton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96446AC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26F80CE7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2788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513BA49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30DE371F" w14:textId="15783849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7F5675E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C8B6972" w14:textId="5841DD3E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B5934A0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78449B7D" w14:textId="71D17347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</w:tr>
      <w:tr w:rsidR="006F054A" w:rsidRPr="00E635DB" w14:paraId="0A82F930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635E2A81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2E917E31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Unmarried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EA2E3C9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545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A096285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-18.11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0515739E" w14:textId="4A6EF62A" w:rsidR="006F054A" w:rsidRPr="00E635DB" w:rsidRDefault="006F054A" w:rsidP="00500751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-23.31</w:t>
            </w:r>
            <w:r w:rsidR="00500751" w:rsidRPr="00E635DB">
              <w:rPr>
                <w:sz w:val="24"/>
                <w:szCs w:val="24"/>
                <w:lang w:eastAsia="da-DK"/>
              </w:rPr>
              <w:t>, -12.92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3012C12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-1.13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F0486CD" w14:textId="4FA77079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-6.39, 4.13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6BB465A0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-1.15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02AB8E69" w14:textId="6628C1A9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-6.48, 4.17</w:t>
            </w:r>
          </w:p>
        </w:tc>
      </w:tr>
      <w:tr w:rsidR="006F054A" w:rsidRPr="00E635DB" w14:paraId="4708E565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5D9E4BE7" w14:textId="14F75B5B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Abdominal force, N</w:t>
            </w:r>
            <w:r w:rsidR="00500751" w:rsidRPr="00E635DB">
              <w:rPr>
                <w:sz w:val="24"/>
                <w:szCs w:val="24"/>
                <w:lang w:eastAsia="da-DK"/>
              </w:rPr>
              <w:t>ewton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CD2C6DC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D23AA54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2817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C4A5280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0A4BC741" w14:textId="0B40703E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827B86C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6DAB65D" w14:textId="421EC155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F92F14A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533F861D" w14:textId="30EBA64F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</w:tr>
      <w:tr w:rsidR="006F054A" w:rsidRPr="00E635DB" w14:paraId="1F1DA396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3B552BE2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D814EEC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Unmarried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4BD9B0F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551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8F27ACC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-15.47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795DB0C2" w14:textId="0F73673A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</w:t>
            </w:r>
            <w:r w:rsidR="00500751" w:rsidRPr="00E635DB">
              <w:rPr>
                <w:sz w:val="24"/>
                <w:szCs w:val="24"/>
                <w:lang w:eastAsia="da-DK"/>
              </w:rPr>
              <w:t>20.22, -10.71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A52FBB7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-1.94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7C8F4B0E" w14:textId="517920FE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-6.83, 2.95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03F6567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-2.37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3B21EA13" w14:textId="707CEDD0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-7.32, 2.58</w:t>
            </w:r>
          </w:p>
        </w:tc>
      </w:tr>
      <w:tr w:rsidR="006F054A" w:rsidRPr="00E635DB" w14:paraId="6444285C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4F196C4F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lastRenderedPageBreak/>
              <w:t>Grip strength, kg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1D5D0318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144C74E1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3401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42CA850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5041F754" w14:textId="5B57E2AA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DBA2B6F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3A20F39A" w14:textId="559F75EA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D2E3037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0FFC7C95" w14:textId="617B69E6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</w:tr>
      <w:tr w:rsidR="006F054A" w:rsidRPr="00E635DB" w14:paraId="76C2C51C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25CD2F29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4B96F449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Unmarried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79267DCA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667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4B4B674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-4.72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33C85496" w14:textId="7E7841E4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-5.61, -3.83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761CD2B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-0.75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E08B9D1" w14:textId="25D31487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-1.63, 0.14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FCD86E7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-0.69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6ABD2F0C" w14:textId="07FC6A82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-1.58, 0.20</w:t>
            </w:r>
          </w:p>
        </w:tc>
      </w:tr>
      <w:tr w:rsidR="006F054A" w:rsidRPr="00E635DB" w14:paraId="7E780276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2910B6A3" w14:textId="551B731B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Chair rise, counts in 30 s</w:t>
            </w:r>
            <w:r w:rsidR="00500751" w:rsidRPr="00E635DB">
              <w:rPr>
                <w:sz w:val="24"/>
                <w:szCs w:val="24"/>
                <w:lang w:eastAsia="da-DK"/>
              </w:rPr>
              <w:t>econds (men only)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013B619C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5E1C61B5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2441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01DD33E7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1E1CC703" w14:textId="569A78DE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510B8A5E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42C8258B" w14:textId="431495F5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35526D5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44BF6AFB" w14:textId="07C9BCC9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</w:tr>
      <w:tr w:rsidR="006F054A" w:rsidRPr="00E635DB" w14:paraId="115B3F5A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5D035C8E" w14:textId="191BB3D8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65029ECE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Unmarried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30934244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314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1C620718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0.94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77B6D5C5" w14:textId="11FB79E4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0.27, 1.60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C33CD4B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0.04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2A579149" w14:textId="3CC3F775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-0.66, 0.73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7C6D6B97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0.49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0CC58A67" w14:textId="1265B3B8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-0.20, 1.18</w:t>
            </w:r>
          </w:p>
        </w:tc>
      </w:tr>
      <w:tr w:rsidR="006F054A" w:rsidRPr="00E635DB" w14:paraId="2EA7DE3B" w14:textId="77777777" w:rsidTr="004C2456">
        <w:trPr>
          <w:trHeight w:val="288"/>
        </w:trPr>
        <w:tc>
          <w:tcPr>
            <w:tcW w:w="2417" w:type="dxa"/>
            <w:shd w:val="clear" w:color="auto" w:fill="auto"/>
            <w:noWrap/>
            <w:vAlign w:val="bottom"/>
            <w:hideMark/>
          </w:tcPr>
          <w:p w14:paraId="749A206E" w14:textId="13F1C9B5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Chair rise, counts in 30 s</w:t>
            </w:r>
            <w:r w:rsidR="00500751" w:rsidRPr="00E635DB">
              <w:rPr>
                <w:sz w:val="24"/>
                <w:szCs w:val="24"/>
                <w:lang w:eastAsia="da-DK"/>
              </w:rPr>
              <w:t>econds (women only)</w:t>
            </w:r>
          </w:p>
        </w:tc>
        <w:tc>
          <w:tcPr>
            <w:tcW w:w="1195" w:type="dxa"/>
            <w:shd w:val="clear" w:color="auto" w:fill="auto"/>
            <w:noWrap/>
            <w:vAlign w:val="bottom"/>
            <w:hideMark/>
          </w:tcPr>
          <w:p w14:paraId="57DB19C4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Married</w:t>
            </w:r>
          </w:p>
        </w:tc>
        <w:tc>
          <w:tcPr>
            <w:tcW w:w="627" w:type="dxa"/>
            <w:shd w:val="clear" w:color="auto" w:fill="auto"/>
            <w:noWrap/>
            <w:vAlign w:val="bottom"/>
            <w:hideMark/>
          </w:tcPr>
          <w:p w14:paraId="0B784D26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612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21344F39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14:paraId="6ECFFBD2" w14:textId="615C2A42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3BFC9762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1407" w:type="dxa"/>
            <w:shd w:val="clear" w:color="auto" w:fill="auto"/>
            <w:noWrap/>
            <w:vAlign w:val="bottom"/>
            <w:hideMark/>
          </w:tcPr>
          <w:p w14:paraId="64485A40" w14:textId="27CE0B82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  <w:tc>
          <w:tcPr>
            <w:tcW w:w="1235" w:type="dxa"/>
            <w:shd w:val="clear" w:color="auto" w:fill="auto"/>
            <w:noWrap/>
            <w:vAlign w:val="bottom"/>
            <w:hideMark/>
          </w:tcPr>
          <w:p w14:paraId="46BB2650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0</w:t>
            </w:r>
          </w:p>
        </w:tc>
        <w:tc>
          <w:tcPr>
            <w:tcW w:w="2197" w:type="dxa"/>
            <w:shd w:val="clear" w:color="auto" w:fill="auto"/>
            <w:noWrap/>
            <w:vAlign w:val="bottom"/>
            <w:hideMark/>
          </w:tcPr>
          <w:p w14:paraId="14B99578" w14:textId="269C326D" w:rsidR="006F054A" w:rsidRPr="00E635DB" w:rsidRDefault="001F376B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reference</w:t>
            </w:r>
          </w:p>
        </w:tc>
      </w:tr>
      <w:tr w:rsidR="006F054A" w:rsidRPr="00E635DB" w14:paraId="39B0C84D" w14:textId="77777777" w:rsidTr="004C2456">
        <w:trPr>
          <w:trHeight w:val="288"/>
        </w:trPr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5BC4" w14:textId="44095E4F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6257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Unmarried</w:t>
            </w:r>
          </w:p>
        </w:tc>
        <w:tc>
          <w:tcPr>
            <w:tcW w:w="6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926D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291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BE0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-0.89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06C5" w14:textId="39DCD569" w:rsidR="006F054A" w:rsidRPr="00E635DB" w:rsidRDefault="006F054A" w:rsidP="00500751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-1.69</w:t>
            </w:r>
            <w:r w:rsidR="00500751" w:rsidRPr="00E635DB">
              <w:rPr>
                <w:sz w:val="24"/>
                <w:szCs w:val="24"/>
                <w:lang w:eastAsia="da-DK"/>
              </w:rPr>
              <w:t>, -0.10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7799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-0.89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2616" w14:textId="1252E0FF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-1.69, -0.10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FD58" w14:textId="77777777" w:rsidR="006F054A" w:rsidRPr="00E635DB" w:rsidRDefault="006F054A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-0.28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13A1" w14:textId="1D77C2C6" w:rsidR="006F054A" w:rsidRPr="00E635DB" w:rsidRDefault="00500751" w:rsidP="00307084">
            <w:pPr>
              <w:rPr>
                <w:sz w:val="24"/>
                <w:szCs w:val="24"/>
                <w:lang w:eastAsia="da-DK"/>
              </w:rPr>
            </w:pPr>
            <w:r w:rsidRPr="00E635DB">
              <w:rPr>
                <w:sz w:val="24"/>
                <w:szCs w:val="24"/>
                <w:lang w:eastAsia="da-DK"/>
              </w:rPr>
              <w:t>-1.08, 0.52</w:t>
            </w:r>
          </w:p>
        </w:tc>
      </w:tr>
    </w:tbl>
    <w:p w14:paraId="135B6118" w14:textId="4D3902B8" w:rsidR="009F0E94" w:rsidRPr="004C2456" w:rsidRDefault="004C2456" w:rsidP="004C2456">
      <w:pPr>
        <w:pStyle w:val="Heading2"/>
        <w:rPr>
          <w:rFonts w:asciiTheme="minorHAnsi" w:hAnsiTheme="minorHAnsi"/>
          <w:b w:val="0"/>
        </w:rPr>
      </w:pPr>
      <w:r w:rsidRPr="004C2456">
        <w:rPr>
          <w:rFonts w:asciiTheme="minorHAnsi" w:hAnsiTheme="minorHAnsi"/>
          <w:b w:val="0"/>
          <w:sz w:val="24"/>
          <w:szCs w:val="24"/>
          <w:lang w:eastAsia="da-DK"/>
        </w:rPr>
        <w:t xml:space="preserve">CI: Confidence </w:t>
      </w:r>
      <w:bookmarkStart w:id="0" w:name="_GoBack"/>
      <w:bookmarkEnd w:id="0"/>
      <w:r w:rsidRPr="004C2456">
        <w:rPr>
          <w:rFonts w:asciiTheme="minorHAnsi" w:hAnsiTheme="minorHAnsi"/>
          <w:b w:val="0"/>
          <w:sz w:val="24"/>
          <w:szCs w:val="24"/>
          <w:lang w:eastAsia="da-DK"/>
        </w:rPr>
        <w:t xml:space="preserve">Interval; SEP: Socioeconomic position; </w:t>
      </w:r>
      <w:r w:rsidRPr="004C2456">
        <w:rPr>
          <w:rFonts w:asciiTheme="minorHAnsi" w:hAnsiTheme="minorHAnsi"/>
          <w:b w:val="0"/>
          <w:sz w:val="24"/>
          <w:szCs w:val="24"/>
          <w:vertAlign w:val="superscript"/>
          <w:lang w:eastAsia="da-DK"/>
        </w:rPr>
        <w:t>a</w:t>
      </w:r>
      <w:r w:rsidRPr="004C2456">
        <w:rPr>
          <w:rFonts w:asciiTheme="minorHAnsi" w:hAnsiTheme="minorHAnsi"/>
          <w:b w:val="0"/>
          <w:sz w:val="24"/>
          <w:szCs w:val="24"/>
          <w:lang w:eastAsia="da-DK"/>
        </w:rPr>
        <w:t>β for balance is interpreted as relative change.</w:t>
      </w:r>
    </w:p>
    <w:sectPr w:rsidR="009F0E94" w:rsidRPr="004C2456" w:rsidSect="004C2456">
      <w:foot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86E10" w14:textId="77777777" w:rsidR="00500751" w:rsidRDefault="00500751" w:rsidP="00307084">
      <w:r>
        <w:separator/>
      </w:r>
    </w:p>
  </w:endnote>
  <w:endnote w:type="continuationSeparator" w:id="0">
    <w:p w14:paraId="7C1E6C1B" w14:textId="77777777" w:rsidR="00500751" w:rsidRDefault="00500751" w:rsidP="0030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18086"/>
      <w:docPartObj>
        <w:docPartGallery w:val="Page Numbers (Bottom of Page)"/>
        <w:docPartUnique/>
      </w:docPartObj>
    </w:sdtPr>
    <w:sdtEndPr/>
    <w:sdtContent>
      <w:p w14:paraId="455388B4" w14:textId="5DAB146D" w:rsidR="00500751" w:rsidRDefault="00500751" w:rsidP="00307084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456">
          <w:rPr>
            <w:noProof/>
          </w:rPr>
          <w:t>2</w:t>
        </w:r>
        <w:r>
          <w:fldChar w:fldCharType="end"/>
        </w:r>
      </w:p>
    </w:sdtContent>
  </w:sdt>
  <w:p w14:paraId="30B03802" w14:textId="77777777" w:rsidR="00500751" w:rsidRDefault="00500751" w:rsidP="00307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6FB26" w14:textId="77777777" w:rsidR="00500751" w:rsidRDefault="00500751" w:rsidP="00307084">
      <w:r>
        <w:separator/>
      </w:r>
    </w:p>
  </w:footnote>
  <w:footnote w:type="continuationSeparator" w:id="0">
    <w:p w14:paraId="63D2AEAF" w14:textId="77777777" w:rsidR="00500751" w:rsidRDefault="00500751" w:rsidP="00307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4CC1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EE2FE0"/>
    <w:multiLevelType w:val="hybridMultilevel"/>
    <w:tmpl w:val="1884F9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itte Lindved Petersen">
    <w15:presenceInfo w15:providerId="AD" w15:userId="S-1-5-21-2998415252-1569653387-2273806867-2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85"/>
    <w:rsid w:val="0000681B"/>
    <w:rsid w:val="000076C9"/>
    <w:rsid w:val="000078E5"/>
    <w:rsid w:val="00012A15"/>
    <w:rsid w:val="000172D2"/>
    <w:rsid w:val="00022719"/>
    <w:rsid w:val="00036BA4"/>
    <w:rsid w:val="000411BB"/>
    <w:rsid w:val="00044ED4"/>
    <w:rsid w:val="000610A2"/>
    <w:rsid w:val="00064973"/>
    <w:rsid w:val="00071139"/>
    <w:rsid w:val="000860B8"/>
    <w:rsid w:val="000868DC"/>
    <w:rsid w:val="00087C52"/>
    <w:rsid w:val="000952BE"/>
    <w:rsid w:val="000A6991"/>
    <w:rsid w:val="000C710E"/>
    <w:rsid w:val="000D2E03"/>
    <w:rsid w:val="000E26CD"/>
    <w:rsid w:val="000F0812"/>
    <w:rsid w:val="000F1780"/>
    <w:rsid w:val="000F2BF4"/>
    <w:rsid w:val="000F570D"/>
    <w:rsid w:val="00111555"/>
    <w:rsid w:val="001119E7"/>
    <w:rsid w:val="00124BF4"/>
    <w:rsid w:val="001265EE"/>
    <w:rsid w:val="001308FA"/>
    <w:rsid w:val="00135986"/>
    <w:rsid w:val="00151D06"/>
    <w:rsid w:val="001538F3"/>
    <w:rsid w:val="001602AD"/>
    <w:rsid w:val="001676F8"/>
    <w:rsid w:val="001728CB"/>
    <w:rsid w:val="00185A0F"/>
    <w:rsid w:val="001863F3"/>
    <w:rsid w:val="00187852"/>
    <w:rsid w:val="001A0CFA"/>
    <w:rsid w:val="001A0EE3"/>
    <w:rsid w:val="001A62AA"/>
    <w:rsid w:val="001A6D3F"/>
    <w:rsid w:val="001B30C7"/>
    <w:rsid w:val="001B4C51"/>
    <w:rsid w:val="001C3CBD"/>
    <w:rsid w:val="001C487B"/>
    <w:rsid w:val="001D45F5"/>
    <w:rsid w:val="001D78A0"/>
    <w:rsid w:val="001E07A9"/>
    <w:rsid w:val="001E68E2"/>
    <w:rsid w:val="001F0B65"/>
    <w:rsid w:val="001F376B"/>
    <w:rsid w:val="001F376E"/>
    <w:rsid w:val="001F50BB"/>
    <w:rsid w:val="001F5DE5"/>
    <w:rsid w:val="001F6232"/>
    <w:rsid w:val="001F6EFF"/>
    <w:rsid w:val="00222D5B"/>
    <w:rsid w:val="00251153"/>
    <w:rsid w:val="002548AC"/>
    <w:rsid w:val="002555EC"/>
    <w:rsid w:val="00263EEF"/>
    <w:rsid w:val="002648D7"/>
    <w:rsid w:val="002717D1"/>
    <w:rsid w:val="00273F3A"/>
    <w:rsid w:val="0027725A"/>
    <w:rsid w:val="00285D4C"/>
    <w:rsid w:val="0028646A"/>
    <w:rsid w:val="0029250A"/>
    <w:rsid w:val="002957D4"/>
    <w:rsid w:val="00296E38"/>
    <w:rsid w:val="002B02DB"/>
    <w:rsid w:val="002B0FA6"/>
    <w:rsid w:val="002C3746"/>
    <w:rsid w:val="002C3B47"/>
    <w:rsid w:val="002E6607"/>
    <w:rsid w:val="002F6222"/>
    <w:rsid w:val="00302FFE"/>
    <w:rsid w:val="003037F7"/>
    <w:rsid w:val="0030474A"/>
    <w:rsid w:val="00307084"/>
    <w:rsid w:val="00313B03"/>
    <w:rsid w:val="0032000B"/>
    <w:rsid w:val="003207FD"/>
    <w:rsid w:val="003240A5"/>
    <w:rsid w:val="00333E40"/>
    <w:rsid w:val="003403C8"/>
    <w:rsid w:val="003457A0"/>
    <w:rsid w:val="00350DFD"/>
    <w:rsid w:val="00350E3C"/>
    <w:rsid w:val="003647D5"/>
    <w:rsid w:val="003915F5"/>
    <w:rsid w:val="003A6304"/>
    <w:rsid w:val="003B5B1A"/>
    <w:rsid w:val="003B6B88"/>
    <w:rsid w:val="003C35C2"/>
    <w:rsid w:val="003C6342"/>
    <w:rsid w:val="003C6487"/>
    <w:rsid w:val="003C7B76"/>
    <w:rsid w:val="003E1EDB"/>
    <w:rsid w:val="003E423C"/>
    <w:rsid w:val="003E4AC7"/>
    <w:rsid w:val="003E5A84"/>
    <w:rsid w:val="004026CD"/>
    <w:rsid w:val="00410D3C"/>
    <w:rsid w:val="00417433"/>
    <w:rsid w:val="00420FE8"/>
    <w:rsid w:val="0042228C"/>
    <w:rsid w:val="004309D7"/>
    <w:rsid w:val="00435CCA"/>
    <w:rsid w:val="00440678"/>
    <w:rsid w:val="004515EB"/>
    <w:rsid w:val="0045577A"/>
    <w:rsid w:val="00467F64"/>
    <w:rsid w:val="0048169B"/>
    <w:rsid w:val="00482589"/>
    <w:rsid w:val="00486840"/>
    <w:rsid w:val="0049088A"/>
    <w:rsid w:val="004917B3"/>
    <w:rsid w:val="0049373C"/>
    <w:rsid w:val="0049556A"/>
    <w:rsid w:val="004A11C0"/>
    <w:rsid w:val="004A58F5"/>
    <w:rsid w:val="004A7173"/>
    <w:rsid w:val="004C2456"/>
    <w:rsid w:val="004D1C97"/>
    <w:rsid w:val="004D7075"/>
    <w:rsid w:val="004D782C"/>
    <w:rsid w:val="004E16D8"/>
    <w:rsid w:val="004E23C4"/>
    <w:rsid w:val="004F3E48"/>
    <w:rsid w:val="00500751"/>
    <w:rsid w:val="005056D4"/>
    <w:rsid w:val="00513680"/>
    <w:rsid w:val="005166D6"/>
    <w:rsid w:val="0051689D"/>
    <w:rsid w:val="0051788A"/>
    <w:rsid w:val="00517CD8"/>
    <w:rsid w:val="0052408C"/>
    <w:rsid w:val="00524C90"/>
    <w:rsid w:val="00526202"/>
    <w:rsid w:val="005465CC"/>
    <w:rsid w:val="00550801"/>
    <w:rsid w:val="0055219D"/>
    <w:rsid w:val="00570F81"/>
    <w:rsid w:val="00573F1C"/>
    <w:rsid w:val="0057622F"/>
    <w:rsid w:val="005820D3"/>
    <w:rsid w:val="00582FA3"/>
    <w:rsid w:val="00597712"/>
    <w:rsid w:val="005A0B01"/>
    <w:rsid w:val="005B4AC8"/>
    <w:rsid w:val="005C0122"/>
    <w:rsid w:val="005D0663"/>
    <w:rsid w:val="005D419B"/>
    <w:rsid w:val="005D6363"/>
    <w:rsid w:val="005E5172"/>
    <w:rsid w:val="005F2E05"/>
    <w:rsid w:val="005F5734"/>
    <w:rsid w:val="00601078"/>
    <w:rsid w:val="00605C3C"/>
    <w:rsid w:val="006129EA"/>
    <w:rsid w:val="006205D2"/>
    <w:rsid w:val="006246B7"/>
    <w:rsid w:val="00637FB7"/>
    <w:rsid w:val="00643911"/>
    <w:rsid w:val="00653814"/>
    <w:rsid w:val="006546D6"/>
    <w:rsid w:val="00661FDD"/>
    <w:rsid w:val="00662D27"/>
    <w:rsid w:val="006663C8"/>
    <w:rsid w:val="0067034A"/>
    <w:rsid w:val="00675B33"/>
    <w:rsid w:val="00680542"/>
    <w:rsid w:val="00680F4C"/>
    <w:rsid w:val="006863AD"/>
    <w:rsid w:val="00687B52"/>
    <w:rsid w:val="0069094D"/>
    <w:rsid w:val="006944D4"/>
    <w:rsid w:val="006953A7"/>
    <w:rsid w:val="0069729A"/>
    <w:rsid w:val="006A7A9B"/>
    <w:rsid w:val="006C5CB1"/>
    <w:rsid w:val="006D59F3"/>
    <w:rsid w:val="006E0E36"/>
    <w:rsid w:val="006E31FE"/>
    <w:rsid w:val="006F054A"/>
    <w:rsid w:val="006F3085"/>
    <w:rsid w:val="006F48D4"/>
    <w:rsid w:val="006F622A"/>
    <w:rsid w:val="00703D91"/>
    <w:rsid w:val="00705E40"/>
    <w:rsid w:val="00710E6B"/>
    <w:rsid w:val="00713524"/>
    <w:rsid w:val="007165AD"/>
    <w:rsid w:val="00721DF8"/>
    <w:rsid w:val="00733585"/>
    <w:rsid w:val="00735272"/>
    <w:rsid w:val="00744614"/>
    <w:rsid w:val="0074693A"/>
    <w:rsid w:val="007504D2"/>
    <w:rsid w:val="00754857"/>
    <w:rsid w:val="007613F7"/>
    <w:rsid w:val="007622B3"/>
    <w:rsid w:val="00770C96"/>
    <w:rsid w:val="00775900"/>
    <w:rsid w:val="007767A6"/>
    <w:rsid w:val="0077682B"/>
    <w:rsid w:val="00781E0C"/>
    <w:rsid w:val="007842BC"/>
    <w:rsid w:val="00787DA6"/>
    <w:rsid w:val="00792947"/>
    <w:rsid w:val="007B76EF"/>
    <w:rsid w:val="007C0908"/>
    <w:rsid w:val="007C0C37"/>
    <w:rsid w:val="007C2D2C"/>
    <w:rsid w:val="007C6371"/>
    <w:rsid w:val="007D1170"/>
    <w:rsid w:val="007E5952"/>
    <w:rsid w:val="007F08F8"/>
    <w:rsid w:val="007F7F71"/>
    <w:rsid w:val="00800590"/>
    <w:rsid w:val="008152C1"/>
    <w:rsid w:val="00815AB0"/>
    <w:rsid w:val="0082392B"/>
    <w:rsid w:val="00823FCB"/>
    <w:rsid w:val="0083276A"/>
    <w:rsid w:val="00833F52"/>
    <w:rsid w:val="00847D6C"/>
    <w:rsid w:val="008516F6"/>
    <w:rsid w:val="0085314A"/>
    <w:rsid w:val="008750F4"/>
    <w:rsid w:val="00877A49"/>
    <w:rsid w:val="00883757"/>
    <w:rsid w:val="0088460A"/>
    <w:rsid w:val="00886A42"/>
    <w:rsid w:val="008A0AA1"/>
    <w:rsid w:val="008A1A72"/>
    <w:rsid w:val="008A6F49"/>
    <w:rsid w:val="008C0CA0"/>
    <w:rsid w:val="008C1C4A"/>
    <w:rsid w:val="008D5BBC"/>
    <w:rsid w:val="008E0238"/>
    <w:rsid w:val="008E2B0A"/>
    <w:rsid w:val="008F0533"/>
    <w:rsid w:val="008F1E9F"/>
    <w:rsid w:val="008F3815"/>
    <w:rsid w:val="008F605E"/>
    <w:rsid w:val="009040DD"/>
    <w:rsid w:val="00910D1B"/>
    <w:rsid w:val="009131F9"/>
    <w:rsid w:val="009133A3"/>
    <w:rsid w:val="00917F72"/>
    <w:rsid w:val="00922E5C"/>
    <w:rsid w:val="00925833"/>
    <w:rsid w:val="00930C68"/>
    <w:rsid w:val="00932E76"/>
    <w:rsid w:val="0094074B"/>
    <w:rsid w:val="0094417E"/>
    <w:rsid w:val="00953821"/>
    <w:rsid w:val="0095508E"/>
    <w:rsid w:val="00962847"/>
    <w:rsid w:val="0096329D"/>
    <w:rsid w:val="00973844"/>
    <w:rsid w:val="00986283"/>
    <w:rsid w:val="00992BB4"/>
    <w:rsid w:val="00997CB2"/>
    <w:rsid w:val="009A7442"/>
    <w:rsid w:val="009B78A9"/>
    <w:rsid w:val="009C0DCB"/>
    <w:rsid w:val="009C179B"/>
    <w:rsid w:val="009D3CA1"/>
    <w:rsid w:val="009E0E54"/>
    <w:rsid w:val="009E2D63"/>
    <w:rsid w:val="009F0E94"/>
    <w:rsid w:val="009F2320"/>
    <w:rsid w:val="009F3887"/>
    <w:rsid w:val="00A10A38"/>
    <w:rsid w:val="00A14130"/>
    <w:rsid w:val="00A20043"/>
    <w:rsid w:val="00A25187"/>
    <w:rsid w:val="00A2696D"/>
    <w:rsid w:val="00A418BA"/>
    <w:rsid w:val="00A63AF3"/>
    <w:rsid w:val="00A6528D"/>
    <w:rsid w:val="00A71BE5"/>
    <w:rsid w:val="00A72BF9"/>
    <w:rsid w:val="00A772EB"/>
    <w:rsid w:val="00A83FE9"/>
    <w:rsid w:val="00A85626"/>
    <w:rsid w:val="00A93004"/>
    <w:rsid w:val="00AA00B1"/>
    <w:rsid w:val="00AB0628"/>
    <w:rsid w:val="00AC063B"/>
    <w:rsid w:val="00AD2BEC"/>
    <w:rsid w:val="00AD5CBD"/>
    <w:rsid w:val="00AE103C"/>
    <w:rsid w:val="00AE38D7"/>
    <w:rsid w:val="00AF0B98"/>
    <w:rsid w:val="00B109AB"/>
    <w:rsid w:val="00B10DB3"/>
    <w:rsid w:val="00B117F1"/>
    <w:rsid w:val="00B12C25"/>
    <w:rsid w:val="00B16E54"/>
    <w:rsid w:val="00B20F4F"/>
    <w:rsid w:val="00B30A2E"/>
    <w:rsid w:val="00B3379B"/>
    <w:rsid w:val="00B33BD3"/>
    <w:rsid w:val="00B42C23"/>
    <w:rsid w:val="00B431D3"/>
    <w:rsid w:val="00B46436"/>
    <w:rsid w:val="00B51756"/>
    <w:rsid w:val="00B611CE"/>
    <w:rsid w:val="00B6591E"/>
    <w:rsid w:val="00B71857"/>
    <w:rsid w:val="00B85B4D"/>
    <w:rsid w:val="00B90CC3"/>
    <w:rsid w:val="00B92804"/>
    <w:rsid w:val="00B93A55"/>
    <w:rsid w:val="00BA2577"/>
    <w:rsid w:val="00BA5E5F"/>
    <w:rsid w:val="00BA7F5B"/>
    <w:rsid w:val="00BB1642"/>
    <w:rsid w:val="00BB7E37"/>
    <w:rsid w:val="00BC2942"/>
    <w:rsid w:val="00BC642B"/>
    <w:rsid w:val="00BD022B"/>
    <w:rsid w:val="00BD1792"/>
    <w:rsid w:val="00BD4108"/>
    <w:rsid w:val="00BF6124"/>
    <w:rsid w:val="00C120EB"/>
    <w:rsid w:val="00C25826"/>
    <w:rsid w:val="00C32C63"/>
    <w:rsid w:val="00C32F23"/>
    <w:rsid w:val="00C36F4D"/>
    <w:rsid w:val="00C40C9C"/>
    <w:rsid w:val="00C518A8"/>
    <w:rsid w:val="00C623AC"/>
    <w:rsid w:val="00C6376D"/>
    <w:rsid w:val="00C661D1"/>
    <w:rsid w:val="00C756FA"/>
    <w:rsid w:val="00C80ACD"/>
    <w:rsid w:val="00C85853"/>
    <w:rsid w:val="00CA6B8C"/>
    <w:rsid w:val="00CA7719"/>
    <w:rsid w:val="00CB1A00"/>
    <w:rsid w:val="00CB49F6"/>
    <w:rsid w:val="00CB749D"/>
    <w:rsid w:val="00CC4AE7"/>
    <w:rsid w:val="00CD70E3"/>
    <w:rsid w:val="00CD7687"/>
    <w:rsid w:val="00CE0EE8"/>
    <w:rsid w:val="00CE3D7B"/>
    <w:rsid w:val="00CF5372"/>
    <w:rsid w:val="00CF7743"/>
    <w:rsid w:val="00D01751"/>
    <w:rsid w:val="00D05BDC"/>
    <w:rsid w:val="00D2211F"/>
    <w:rsid w:val="00D275DC"/>
    <w:rsid w:val="00D3122C"/>
    <w:rsid w:val="00D401B1"/>
    <w:rsid w:val="00D61820"/>
    <w:rsid w:val="00D62442"/>
    <w:rsid w:val="00D62EBA"/>
    <w:rsid w:val="00D645ED"/>
    <w:rsid w:val="00D66851"/>
    <w:rsid w:val="00D70B22"/>
    <w:rsid w:val="00D77328"/>
    <w:rsid w:val="00D82657"/>
    <w:rsid w:val="00D84723"/>
    <w:rsid w:val="00D86E36"/>
    <w:rsid w:val="00D91011"/>
    <w:rsid w:val="00DA2A5E"/>
    <w:rsid w:val="00DA4C9C"/>
    <w:rsid w:val="00DB4F08"/>
    <w:rsid w:val="00DD04FA"/>
    <w:rsid w:val="00DD1702"/>
    <w:rsid w:val="00DD6A04"/>
    <w:rsid w:val="00DE64A8"/>
    <w:rsid w:val="00DF1023"/>
    <w:rsid w:val="00DF10BF"/>
    <w:rsid w:val="00DF704C"/>
    <w:rsid w:val="00DF79B2"/>
    <w:rsid w:val="00E144E3"/>
    <w:rsid w:val="00E2596B"/>
    <w:rsid w:val="00E339F7"/>
    <w:rsid w:val="00E41754"/>
    <w:rsid w:val="00E5492C"/>
    <w:rsid w:val="00E57E43"/>
    <w:rsid w:val="00E635DB"/>
    <w:rsid w:val="00E75258"/>
    <w:rsid w:val="00E772FD"/>
    <w:rsid w:val="00E853EB"/>
    <w:rsid w:val="00E868D5"/>
    <w:rsid w:val="00EA231B"/>
    <w:rsid w:val="00EA739D"/>
    <w:rsid w:val="00EB0B2B"/>
    <w:rsid w:val="00EB3D95"/>
    <w:rsid w:val="00EC174D"/>
    <w:rsid w:val="00EC5671"/>
    <w:rsid w:val="00EC7CC5"/>
    <w:rsid w:val="00EE431B"/>
    <w:rsid w:val="00F007D8"/>
    <w:rsid w:val="00F04E9B"/>
    <w:rsid w:val="00F119A4"/>
    <w:rsid w:val="00F148CD"/>
    <w:rsid w:val="00F17C70"/>
    <w:rsid w:val="00F20E62"/>
    <w:rsid w:val="00F20F27"/>
    <w:rsid w:val="00F30B0A"/>
    <w:rsid w:val="00F32161"/>
    <w:rsid w:val="00F34F35"/>
    <w:rsid w:val="00F36D68"/>
    <w:rsid w:val="00F37573"/>
    <w:rsid w:val="00F41483"/>
    <w:rsid w:val="00F428C8"/>
    <w:rsid w:val="00F459F6"/>
    <w:rsid w:val="00F53D30"/>
    <w:rsid w:val="00F818CA"/>
    <w:rsid w:val="00F842ED"/>
    <w:rsid w:val="00F84F05"/>
    <w:rsid w:val="00FB0E8E"/>
    <w:rsid w:val="00FB27BB"/>
    <w:rsid w:val="00FC3B26"/>
    <w:rsid w:val="00FD5FF1"/>
    <w:rsid w:val="00FE290E"/>
    <w:rsid w:val="00FE2B8C"/>
    <w:rsid w:val="00FE31D0"/>
    <w:rsid w:val="00FE4BCD"/>
    <w:rsid w:val="00FE550D"/>
    <w:rsid w:val="00FF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60C0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84"/>
    <w:pPr>
      <w:spacing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3AD"/>
    <w:rPr>
      <w:rFonts w:asciiTheme="majorHAnsi" w:eastAsiaTheme="majorEastAsia" w:hAnsiTheme="majorHAnsi" w:cstheme="majorBidi"/>
      <w:b/>
      <w:bCs/>
      <w:sz w:val="36"/>
      <w:szCs w:val="3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31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3122C"/>
    <w:rPr>
      <w:rFonts w:asciiTheme="majorHAnsi" w:eastAsiaTheme="majorEastAsia" w:hAnsiTheme="majorHAnsi" w:cstheme="majorBidi"/>
      <w:spacing w:val="5"/>
      <w:kern w:val="28"/>
      <w:sz w:val="40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863AD"/>
    <w:rPr>
      <w:rFonts w:asciiTheme="majorHAnsi" w:eastAsiaTheme="majorEastAsia" w:hAnsiTheme="majorHAnsi" w:cstheme="majorBidi"/>
      <w:b/>
      <w:bCs/>
      <w:sz w:val="32"/>
      <w:szCs w:val="26"/>
      <w:lang w:val="en-GB"/>
    </w:rPr>
  </w:style>
  <w:style w:type="character" w:styleId="SubtleReference">
    <w:name w:val="Subtle Reference"/>
    <w:basedOn w:val="DefaultParagraphFont"/>
    <w:uiPriority w:val="31"/>
    <w:qFormat/>
    <w:rsid w:val="003A6304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3A630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9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32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2FFE"/>
    <w:pPr>
      <w:spacing w:after="0" w:line="240" w:lineRule="auto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07084"/>
    <w:pPr>
      <w:keepNext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D5"/>
    <w:rPr>
      <w:lang w:val="en-US"/>
    </w:rPr>
  </w:style>
  <w:style w:type="paragraph" w:styleId="ListBullet">
    <w:name w:val="List Bullet"/>
    <w:basedOn w:val="Normal"/>
    <w:uiPriority w:val="99"/>
    <w:unhideWhenUsed/>
    <w:rsid w:val="008E2B0A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rsid w:val="005166D6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5166D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0B1"/>
    <w:rPr>
      <w:b/>
      <w:bCs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07084"/>
  </w:style>
  <w:style w:type="character" w:customStyle="1" w:styleId="Heading3Char">
    <w:name w:val="Heading 3 Char"/>
    <w:basedOn w:val="DefaultParagraphFont"/>
    <w:link w:val="Heading3"/>
    <w:uiPriority w:val="9"/>
    <w:rsid w:val="009F0E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84"/>
    <w:pPr>
      <w:spacing w:line="48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3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3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3AD"/>
    <w:rPr>
      <w:rFonts w:asciiTheme="majorHAnsi" w:eastAsiaTheme="majorEastAsia" w:hAnsiTheme="majorHAnsi" w:cstheme="majorBidi"/>
      <w:b/>
      <w:bCs/>
      <w:sz w:val="36"/>
      <w:szCs w:val="3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312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D3122C"/>
    <w:rPr>
      <w:rFonts w:asciiTheme="majorHAnsi" w:eastAsiaTheme="majorEastAsia" w:hAnsiTheme="majorHAnsi" w:cstheme="majorBidi"/>
      <w:spacing w:val="5"/>
      <w:kern w:val="28"/>
      <w:sz w:val="40"/>
      <w:szCs w:val="5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863AD"/>
    <w:rPr>
      <w:rFonts w:asciiTheme="majorHAnsi" w:eastAsiaTheme="majorEastAsia" w:hAnsiTheme="majorHAnsi" w:cstheme="majorBidi"/>
      <w:b/>
      <w:bCs/>
      <w:sz w:val="32"/>
      <w:szCs w:val="26"/>
      <w:lang w:val="en-GB"/>
    </w:rPr>
  </w:style>
  <w:style w:type="character" w:styleId="SubtleReference">
    <w:name w:val="Subtle Reference"/>
    <w:basedOn w:val="DefaultParagraphFont"/>
    <w:uiPriority w:val="31"/>
    <w:qFormat/>
    <w:rsid w:val="003A6304"/>
    <w:rPr>
      <w:smallCaps/>
      <w:color w:val="C0504D" w:themeColor="accent2"/>
      <w:u w:val="single"/>
    </w:rPr>
  </w:style>
  <w:style w:type="paragraph" w:styleId="ListParagraph">
    <w:name w:val="List Paragraph"/>
    <w:basedOn w:val="Normal"/>
    <w:uiPriority w:val="34"/>
    <w:qFormat/>
    <w:rsid w:val="003A630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63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29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6329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9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2FFE"/>
    <w:pPr>
      <w:spacing w:after="0" w:line="240" w:lineRule="auto"/>
    </w:pPr>
    <w:rPr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307084"/>
    <w:pPr>
      <w:keepNext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D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8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D5"/>
    <w:rPr>
      <w:lang w:val="en-US"/>
    </w:rPr>
  </w:style>
  <w:style w:type="paragraph" w:styleId="ListBullet">
    <w:name w:val="List Bullet"/>
    <w:basedOn w:val="Normal"/>
    <w:uiPriority w:val="99"/>
    <w:unhideWhenUsed/>
    <w:rsid w:val="008E2B0A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rsid w:val="005166D6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5166D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0B1"/>
    <w:rPr>
      <w:b/>
      <w:bCs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07084"/>
  </w:style>
  <w:style w:type="character" w:customStyle="1" w:styleId="Heading3Char">
    <w:name w:val="Heading 3 Char"/>
    <w:basedOn w:val="DefaultParagraphFont"/>
    <w:link w:val="Heading3"/>
    <w:uiPriority w:val="9"/>
    <w:rsid w:val="009F0E9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371E-8589-411A-B8C0-6D21740D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Copenhagen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Lindved Petersen</dc:creator>
  <cp:lastModifiedBy>Gitte Lindved Petersen</cp:lastModifiedBy>
  <cp:revision>3</cp:revision>
  <cp:lastPrinted>2017-08-15T09:26:00Z</cp:lastPrinted>
  <dcterms:created xsi:type="dcterms:W3CDTF">2018-08-16T09:01:00Z</dcterms:created>
  <dcterms:modified xsi:type="dcterms:W3CDTF">2018-09-21T10:16:00Z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http://www.zotero.org/styles/social-science-and-medicine</vt:lpwstr>
  </property>
  <property fmtid="{D5CDD505-2E9C-101B-9397-08002B2CF9AE}" pid="21" name="Mendeley Recent Style Name 9_1">
    <vt:lpwstr>Social Science &amp; Medicine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381ec52d-7238-3b19-8995-3376da36b7a6</vt:lpwstr>
  </property>
  <property fmtid="{D5CDD505-2E9C-101B-9397-08002B2CF9AE}" pid="24" name="Mendeley Citation Style_1">
    <vt:lpwstr>http://www.zotero.org/styles/social-science-and-medicine</vt:lpwstr>
  </property>
  <property fmtid="{D5CDD505-2E9C-101B-9397-08002B2CF9AE}" pid="25" name="SD_DocumentLanguage">
    <vt:lpwstr>da-DK</vt:lpwstr>
  </property>
</Properties>
</file>