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8BE" w:rsidRPr="00D34C89" w:rsidRDefault="00D34C89">
      <w:r>
        <w:t>Supplemental Table 2.</w:t>
      </w:r>
      <w:r w:rsidRPr="00D34C89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D34C89">
        <w:rPr>
          <w:rFonts w:ascii="Calibri" w:eastAsia="Times New Roman" w:hAnsi="Calibri" w:cs="Calibri"/>
          <w:bCs/>
          <w:color w:val="000000"/>
        </w:rPr>
        <w:t>Linear contrasts comparing JES score quartiles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1255"/>
        <w:gridCol w:w="1067"/>
        <w:gridCol w:w="823"/>
        <w:gridCol w:w="900"/>
        <w:gridCol w:w="810"/>
        <w:gridCol w:w="4616"/>
      </w:tblGrid>
      <w:tr w:rsidR="00D34C89" w:rsidRPr="00D34C89" w:rsidTr="00D34C89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Contrasts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LCL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UCL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4C89" w:rsidRPr="00D34C89" w:rsidTr="00D34C89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JES quartile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1 vs 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4C89" w:rsidRPr="00D34C89" w:rsidTr="00D34C89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1 vs 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4C89" w:rsidRPr="00D34C89" w:rsidTr="00D34C89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1 vs 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4C89" w:rsidRPr="00D34C89" w:rsidTr="00D34C89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2 vs 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1.08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This is where the ceiling effect is starting to become more evident</w:t>
            </w:r>
          </w:p>
        </w:tc>
      </w:tr>
      <w:tr w:rsidR="00D34C89" w:rsidRPr="00D34C89" w:rsidTr="00D34C89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2 vs 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1.12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4C89" w:rsidRPr="00D34C89" w:rsidTr="00D34C89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3 vs 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1.16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4C89" w:rsidRPr="00D34C89" w:rsidTr="00D34C89">
        <w:trPr>
          <w:trHeight w:val="300"/>
        </w:trPr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JES-Jefferson Empathy Scale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C89" w:rsidRPr="00D34C89" w:rsidTr="00D34C89">
        <w:trPr>
          <w:trHeight w:val="300"/>
        </w:trPr>
        <w:tc>
          <w:tcPr>
            <w:tcW w:w="9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RR-Risk Ratio; LCL-95% lower confidence limit; UCL-95% upper confidence limit</w:t>
            </w:r>
          </w:p>
        </w:tc>
      </w:tr>
      <w:tr w:rsidR="00D34C89" w:rsidRPr="00D34C89" w:rsidTr="00D34C89">
        <w:trPr>
          <w:trHeight w:val="300"/>
        </w:trPr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89" w:rsidRDefault="00D34C89" w:rsidP="00D34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34C89" w:rsidRPr="00D34C89" w:rsidRDefault="00D34C89" w:rsidP="00D34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Quartile 1 ranged between 80 and 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C89" w:rsidRPr="00D34C89" w:rsidTr="00D34C89">
        <w:trPr>
          <w:trHeight w:val="300"/>
        </w:trPr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Quartile 2 ranged between 107 and 115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C89" w:rsidRPr="00D34C89" w:rsidTr="00D34C89">
        <w:trPr>
          <w:trHeight w:val="300"/>
        </w:trPr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Quartile 3 ranged between 115 and 125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C89" w:rsidRPr="00D34C89" w:rsidTr="00D34C89">
        <w:trPr>
          <w:trHeight w:val="300"/>
        </w:trPr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4C89">
              <w:rPr>
                <w:rFonts w:ascii="Calibri" w:eastAsia="Times New Roman" w:hAnsi="Calibri" w:cs="Calibri"/>
                <w:color w:val="000000"/>
              </w:rPr>
              <w:t>Quartile 4 ranged between 125 and 134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89" w:rsidRPr="00D34C89" w:rsidRDefault="00D34C89" w:rsidP="00D3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4C89" w:rsidRDefault="00D34C89">
      <w:bookmarkStart w:id="0" w:name="_GoBack"/>
      <w:bookmarkEnd w:id="0"/>
    </w:p>
    <w:sectPr w:rsidR="00D34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89"/>
    <w:rsid w:val="001E68A1"/>
    <w:rsid w:val="002F5E35"/>
    <w:rsid w:val="00550154"/>
    <w:rsid w:val="006643BA"/>
    <w:rsid w:val="006A08BE"/>
    <w:rsid w:val="00B62989"/>
    <w:rsid w:val="00C2647D"/>
    <w:rsid w:val="00D34C89"/>
    <w:rsid w:val="00E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AF67"/>
  <w15:chartTrackingRefBased/>
  <w15:docId w15:val="{FD4737B0-CDE0-4DCE-AD81-0D0A43DF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wang</dc:creator>
  <cp:keywords/>
  <dc:description/>
  <cp:lastModifiedBy>hao wang</cp:lastModifiedBy>
  <cp:revision>1</cp:revision>
  <dcterms:created xsi:type="dcterms:W3CDTF">2018-05-02T00:47:00Z</dcterms:created>
  <dcterms:modified xsi:type="dcterms:W3CDTF">2018-05-02T00:50:00Z</dcterms:modified>
</cp:coreProperties>
</file>