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C89F20" w14:textId="60A308C1" w:rsidR="00625D49" w:rsidRDefault="00625D49" w:rsidP="00625D49">
      <w:pPr>
        <w:pStyle w:val="Heading2"/>
      </w:pPr>
      <w:bookmarkStart w:id="0" w:name="_GoBack"/>
      <w:bookmarkEnd w:id="0"/>
      <w:r>
        <w:t>S</w:t>
      </w:r>
      <w:r w:rsidR="001154F0">
        <w:t>3</w:t>
      </w:r>
      <w:r>
        <w:t xml:space="preserve"> File. Overall slow-down efforts</w:t>
      </w:r>
      <w:r w:rsidR="000447C1">
        <w:t xml:space="preserve"> in the speed reduction area (SRA)</w:t>
      </w:r>
    </w:p>
    <w:p w14:paraId="038D6B9D" w14:textId="386DAAF8" w:rsidR="00625D49" w:rsidRDefault="00625D49" w:rsidP="00625D49">
      <w:r>
        <w:t xml:space="preserve">In the previous section, we drew a portrait of the overall compliance with the 10-knots STW limit in the SRA. To better understand the slow-down effort from the maritime industry and target further reinforcement actions, we mapped </w:t>
      </w:r>
      <w:r w:rsidR="00B94C0D">
        <w:t xml:space="preserve">transit </w:t>
      </w:r>
      <w:r>
        <w:t xml:space="preserve">speed variation before (3 km buffer zone) </w:t>
      </w:r>
      <w:r>
        <w:rPr>
          <w:i/>
        </w:rPr>
        <w:t>vs.</w:t>
      </w:r>
      <w:r>
        <w:t xml:space="preserve"> within the SRA against </w:t>
      </w:r>
      <w:r w:rsidR="00B94C0D">
        <w:t xml:space="preserve">transit </w:t>
      </w:r>
      <w:r>
        <w:t>average STW (I</w:t>
      </w:r>
      <w:r w:rsidRPr="004F5779">
        <w:rPr>
          <w:vertAlign w:val="subscript"/>
        </w:rPr>
        <w:t>5</w:t>
      </w:r>
      <w:r>
        <w:t xml:space="preserve">) during the active period with results reported in </w:t>
      </w:r>
      <w:r>
        <w:fldChar w:fldCharType="begin"/>
      </w:r>
      <w:r>
        <w:instrText xml:space="preserve"> REF _Ref494187554 \h </w:instrText>
      </w:r>
      <w:r>
        <w:fldChar w:fldCharType="separate"/>
      </w:r>
      <w:r w:rsidR="007575E4">
        <w:t xml:space="preserve">Fig </w:t>
      </w:r>
      <w:r w:rsidR="007575E4">
        <w:rPr>
          <w:noProof/>
        </w:rPr>
        <w:t>1</w:t>
      </w:r>
      <w:r>
        <w:fldChar w:fldCharType="end"/>
      </w:r>
      <w:r>
        <w:t xml:space="preserve"> (left panel). This analysis reveals that during the active period for 2014-2016:</w:t>
      </w:r>
    </w:p>
    <w:p w14:paraId="63662978" w14:textId="02F1422A" w:rsidR="00625D49" w:rsidRDefault="00625D49" w:rsidP="00625D49">
      <w:pPr>
        <w:pStyle w:val="ListParagraph"/>
        <w:numPr>
          <w:ilvl w:val="0"/>
          <w:numId w:val="2"/>
        </w:numPr>
      </w:pPr>
      <w:r>
        <w:t>6</w:t>
      </w:r>
      <w:r w:rsidR="003A7067">
        <w:t>4.</w:t>
      </w:r>
      <w:r>
        <w:t>5</w:t>
      </w:r>
      <w:r w:rsidR="009727B9">
        <w:t xml:space="preserve"> </w:t>
      </w:r>
      <w:r>
        <w:t>% of all transit</w:t>
      </w:r>
      <w:r w:rsidR="003A756F">
        <w:t>s</w:t>
      </w:r>
      <w:r>
        <w:t xml:space="preserve"> through the SRA slowed down by 1 knot or more when entering it, including 50% who are not fully compliant;</w:t>
      </w:r>
    </w:p>
    <w:p w14:paraId="6151CCB7" w14:textId="6FA4D90C" w:rsidR="00625D49" w:rsidRDefault="00625D49" w:rsidP="00625D49">
      <w:pPr>
        <w:pStyle w:val="ListParagraph"/>
        <w:numPr>
          <w:ilvl w:val="0"/>
          <w:numId w:val="2"/>
        </w:numPr>
      </w:pPr>
      <w:r>
        <w:t>31</w:t>
      </w:r>
      <w:r w:rsidR="009727B9">
        <w:t xml:space="preserve">.0 </w:t>
      </w:r>
      <w:r>
        <w:t xml:space="preserve">% </w:t>
      </w:r>
      <w:r w:rsidR="00D651C6">
        <w:t xml:space="preserve">of the non-compliant transits </w:t>
      </w:r>
      <w:r>
        <w:t>did not slow down (</w:t>
      </w:r>
      <w:r w:rsidRPr="00625D49">
        <w:rPr>
          <w:i/>
        </w:rPr>
        <w:t>i.e.</w:t>
      </w:r>
      <w:r>
        <w:t xml:space="preserve"> speed change between +1 and -1 knots) including 2</w:t>
      </w:r>
      <w:r w:rsidR="009727B9">
        <w:t xml:space="preserve">.1 </w:t>
      </w:r>
      <w:r>
        <w:t>% displaying acceleration</w:t>
      </w:r>
      <w:r w:rsidR="00A97E84">
        <w:t>s</w:t>
      </w:r>
      <w:r>
        <w:t xml:space="preserve"> &gt; 1 knot;</w:t>
      </w:r>
    </w:p>
    <w:p w14:paraId="1A276671" w14:textId="59531226" w:rsidR="00625D49" w:rsidRDefault="00625D49" w:rsidP="00625D49">
      <w:pPr>
        <w:pStyle w:val="ListParagraph"/>
        <w:numPr>
          <w:ilvl w:val="0"/>
          <w:numId w:val="2"/>
        </w:numPr>
      </w:pPr>
      <w:r>
        <w:t>4</w:t>
      </w:r>
      <w:r w:rsidR="009727B9">
        <w:t xml:space="preserve">.3 </w:t>
      </w:r>
      <w:r>
        <w:t xml:space="preserve">% of </w:t>
      </w:r>
      <w:r w:rsidR="009727B9">
        <w:t xml:space="preserve">the </w:t>
      </w:r>
      <w:r w:rsidR="00715FAB">
        <w:t>transits</w:t>
      </w:r>
      <w:r w:rsidR="009727B9">
        <w:t xml:space="preserve"> were</w:t>
      </w:r>
      <w:r w:rsidR="00715FAB">
        <w:t xml:space="preserve"> </w:t>
      </w:r>
      <w:r w:rsidR="009727B9">
        <w:t xml:space="preserve">already compliant and </w:t>
      </w:r>
      <w:r>
        <w:t xml:space="preserve">showed no speed change. </w:t>
      </w:r>
    </w:p>
    <w:p w14:paraId="11E0B2E8" w14:textId="1AC2B99C" w:rsidR="00625D49" w:rsidRDefault="00A3689A" w:rsidP="00625D49">
      <w:pPr>
        <w:jc w:val="center"/>
      </w:pPr>
      <w:r>
        <w:rPr>
          <w:noProof/>
        </w:rPr>
        <w:drawing>
          <wp:inline distT="0" distB="0" distL="0" distR="0" wp14:anchorId="3B574806" wp14:editId="1558B230">
            <wp:extent cx="5733415" cy="3371215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3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28DF" w14:textId="197F5C1F" w:rsidR="00625D49" w:rsidRDefault="00747F3A" w:rsidP="00625D49">
      <w:pPr>
        <w:pStyle w:val="Caption"/>
      </w:pPr>
      <w:bookmarkStart w:id="1" w:name="_Ref494187554"/>
      <w:r>
        <w:t>Fig</w:t>
      </w:r>
      <w:r w:rsidR="00625D49">
        <w:t xml:space="preserve"> </w:t>
      </w:r>
      <w:r w:rsidR="00AB6E39">
        <w:fldChar w:fldCharType="begin"/>
      </w:r>
      <w:r w:rsidR="00AB6E39">
        <w:instrText xml:space="preserve"> SEQ Figure \* ARABIC </w:instrText>
      </w:r>
      <w:r w:rsidR="00AB6E39">
        <w:fldChar w:fldCharType="separate"/>
      </w:r>
      <w:r w:rsidR="007575E4">
        <w:rPr>
          <w:noProof/>
        </w:rPr>
        <w:t>1</w:t>
      </w:r>
      <w:r w:rsidR="00AB6E39">
        <w:rPr>
          <w:noProof/>
        </w:rPr>
        <w:fldChar w:fldCharType="end"/>
      </w:r>
      <w:bookmarkEnd w:id="1"/>
      <w:r>
        <w:t>.</w:t>
      </w:r>
      <w:r w:rsidR="00625D49">
        <w:t xml:space="preserve"> </w:t>
      </w:r>
      <w:r w:rsidR="00625D49" w:rsidRPr="00BD4A2E">
        <w:t xml:space="preserve">Speed variation 3 km before vs. within the SRA against transit’s average STW within the SRA for both the active (left panel) and inactive periods (right panel) for </w:t>
      </w:r>
      <w:r w:rsidR="00625D49" w:rsidRPr="00BD4A2E">
        <w:lastRenderedPageBreak/>
        <w:t xml:space="preserve">2014-2016. </w:t>
      </w:r>
      <w:r w:rsidR="00625D49" w:rsidRPr="00747F3A">
        <w:rPr>
          <w:b w:val="0"/>
        </w:rPr>
        <w:t>Numbers in each cell indicate the percentage of transits.</w:t>
      </w:r>
    </w:p>
    <w:p w14:paraId="246AE645" w14:textId="3F05B2FA" w:rsidR="00747F3A" w:rsidRDefault="00747F3A" w:rsidP="00747F3A">
      <w:r>
        <w:t>We also note that 19</w:t>
      </w:r>
      <w:r w:rsidR="009727B9">
        <w:t xml:space="preserve">.8 </w:t>
      </w:r>
      <w:r>
        <w:t>% of all transits travelled through the SRA at an average STW of 10 knots or less (indicator I</w:t>
      </w:r>
      <w:r>
        <w:rPr>
          <w:vertAlign w:val="subscript"/>
        </w:rPr>
        <w:t>6</w:t>
      </w:r>
      <w:r>
        <w:t>), which confirms that the strict compliance (I</w:t>
      </w:r>
      <w:r>
        <w:rPr>
          <w:vertAlign w:val="subscript"/>
        </w:rPr>
        <w:t>1</w:t>
      </w:r>
      <w:r w:rsidR="009727B9">
        <w:t>) showing</w:t>
      </w:r>
      <w:r>
        <w:t xml:space="preserve"> </w:t>
      </w:r>
      <w:r w:rsidR="009727B9">
        <w:t xml:space="preserve">[9.7 – 11.0] </w:t>
      </w:r>
      <w:r>
        <w:t xml:space="preserve">% compliance is a severe indicator that does not </w:t>
      </w:r>
      <w:r w:rsidR="009727B9">
        <w:t>acknowledge</w:t>
      </w:r>
      <w:r>
        <w:t xml:space="preserve"> the efforts </w:t>
      </w:r>
      <w:r w:rsidR="009727B9">
        <w:t>of</w:t>
      </w:r>
      <w:r>
        <w:t xml:space="preserve"> the industry and the related benefits in conservation.</w:t>
      </w:r>
    </w:p>
    <w:p w14:paraId="42F8F4DD" w14:textId="62EC2E85" w:rsidR="00A63748" w:rsidRDefault="00747F3A">
      <w:r>
        <w:t>The slow-down efforts in the SRA noted during the active period are contrasting with what is observed when the voluntary measures are inactive (</w:t>
      </w:r>
      <w:r>
        <w:fldChar w:fldCharType="begin"/>
      </w:r>
      <w:r>
        <w:instrText xml:space="preserve"> REF _Ref494187554 \h </w:instrText>
      </w:r>
      <w:r>
        <w:fldChar w:fldCharType="separate"/>
      </w:r>
      <w:r w:rsidR="007575E4">
        <w:t xml:space="preserve">Fig </w:t>
      </w:r>
      <w:r w:rsidR="007575E4">
        <w:rPr>
          <w:noProof/>
        </w:rPr>
        <w:t>1</w:t>
      </w:r>
      <w:r>
        <w:fldChar w:fldCharType="end"/>
      </w:r>
      <w:r>
        <w:t>, right panel). During the inactive period, 80</w:t>
      </w:r>
      <w:r w:rsidR="0051002E">
        <w:t xml:space="preserve">.0 </w:t>
      </w:r>
      <w:r>
        <w:t xml:space="preserve">% of the transits do not change speed </w:t>
      </w:r>
      <w:r w:rsidR="00354700">
        <w:t xml:space="preserve">notably </w:t>
      </w:r>
      <w:r>
        <w:t>when travelling through the SRA with 9</w:t>
      </w:r>
      <w:r w:rsidR="0051002E">
        <w:t xml:space="preserve">8.1 </w:t>
      </w:r>
      <w:r>
        <w:t>% displaying average STW greater than 10 knots. This highlights that almost all transits are affected by the 10-knot limit recommendation when the measures are active and confirms the importance of assessing slow-down effort I</w:t>
      </w:r>
      <w:r>
        <w:rPr>
          <w:vertAlign w:val="subscript"/>
        </w:rPr>
        <w:t>4</w:t>
      </w:r>
      <w:r>
        <w:t xml:space="preserve"> and not only the strict compliance I</w:t>
      </w:r>
      <w:r>
        <w:rPr>
          <w:vertAlign w:val="subscript"/>
        </w:rPr>
        <w:t>1</w:t>
      </w:r>
      <w:r>
        <w:t>.</w:t>
      </w:r>
    </w:p>
    <w:sectPr w:rsidR="00A63748" w:rsidSect="005D6FA7">
      <w:footerReference w:type="even" r:id="rId8"/>
      <w:footerReference w:type="default" r:id="rId9"/>
      <w:pgSz w:w="11909" w:h="16834"/>
      <w:pgMar w:top="1440" w:right="1440" w:bottom="1440" w:left="1440" w:header="0" w:footer="720" w:gutter="0"/>
      <w:lnNumType w:countBy="1" w:restart="continuous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C3997" w14:textId="77777777" w:rsidR="00AB6E39" w:rsidRDefault="00AB6E39">
      <w:pPr>
        <w:spacing w:line="240" w:lineRule="auto"/>
      </w:pPr>
      <w:r>
        <w:separator/>
      </w:r>
    </w:p>
  </w:endnote>
  <w:endnote w:type="continuationSeparator" w:id="0">
    <w:p w14:paraId="51EFE15B" w14:textId="77777777" w:rsidR="00AB6E39" w:rsidRDefault="00AB6E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3FAA2" w14:textId="77777777" w:rsidR="006D76EE" w:rsidRDefault="007575E4" w:rsidP="00B60DE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42DB2B" w14:textId="77777777" w:rsidR="006D76EE" w:rsidRDefault="00AB6E39" w:rsidP="00F71D8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2E52E" w14:textId="77777777" w:rsidR="006D76EE" w:rsidRDefault="007575E4" w:rsidP="00B60DE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3C86">
      <w:rPr>
        <w:rStyle w:val="PageNumber"/>
        <w:noProof/>
      </w:rPr>
      <w:t>2</w:t>
    </w:r>
    <w:r>
      <w:rPr>
        <w:rStyle w:val="PageNumber"/>
      </w:rPr>
      <w:fldChar w:fldCharType="end"/>
    </w:r>
  </w:p>
  <w:p w14:paraId="6D5EEFC6" w14:textId="77777777" w:rsidR="006D76EE" w:rsidRDefault="00AB6E39" w:rsidP="00F71D8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B260A" w14:textId="77777777" w:rsidR="00AB6E39" w:rsidRDefault="00AB6E39">
      <w:pPr>
        <w:spacing w:line="240" w:lineRule="auto"/>
      </w:pPr>
      <w:r>
        <w:separator/>
      </w:r>
    </w:p>
  </w:footnote>
  <w:footnote w:type="continuationSeparator" w:id="0">
    <w:p w14:paraId="63E5D406" w14:textId="77777777" w:rsidR="00AB6E39" w:rsidRDefault="00AB6E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E37917"/>
    <w:multiLevelType w:val="hybridMultilevel"/>
    <w:tmpl w:val="6F5A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F6D39"/>
    <w:multiLevelType w:val="multilevel"/>
    <w:tmpl w:val="E0E08B52"/>
    <w:lvl w:ilvl="0">
      <w:start w:val="4"/>
      <w:numFmt w:val="bullet"/>
      <w:lvlText w:val="-"/>
      <w:lvlJc w:val="left"/>
      <w:pPr>
        <w:ind w:left="78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2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2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2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2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2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2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2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2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49"/>
    <w:rsid w:val="000271F3"/>
    <w:rsid w:val="000447C1"/>
    <w:rsid w:val="00080B7D"/>
    <w:rsid w:val="00111CB1"/>
    <w:rsid w:val="001154F0"/>
    <w:rsid w:val="00136020"/>
    <w:rsid w:val="0021322A"/>
    <w:rsid w:val="00354700"/>
    <w:rsid w:val="003A7067"/>
    <w:rsid w:val="003A756F"/>
    <w:rsid w:val="003C1408"/>
    <w:rsid w:val="005060C8"/>
    <w:rsid w:val="0051002E"/>
    <w:rsid w:val="00615B6A"/>
    <w:rsid w:val="00625D49"/>
    <w:rsid w:val="006B6E98"/>
    <w:rsid w:val="006D7917"/>
    <w:rsid w:val="00715FAB"/>
    <w:rsid w:val="00747F3A"/>
    <w:rsid w:val="007575E4"/>
    <w:rsid w:val="00763C86"/>
    <w:rsid w:val="00781AE4"/>
    <w:rsid w:val="00952403"/>
    <w:rsid w:val="009727B9"/>
    <w:rsid w:val="00A348B1"/>
    <w:rsid w:val="00A3689A"/>
    <w:rsid w:val="00A97E84"/>
    <w:rsid w:val="00AB6E39"/>
    <w:rsid w:val="00B94C0D"/>
    <w:rsid w:val="00BD02EA"/>
    <w:rsid w:val="00C31D0F"/>
    <w:rsid w:val="00D54EF1"/>
    <w:rsid w:val="00D651C6"/>
    <w:rsid w:val="00E1431C"/>
    <w:rsid w:val="00EF3884"/>
    <w:rsid w:val="00F65E76"/>
    <w:rsid w:val="00FA2519"/>
    <w:rsid w:val="00FF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836BA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625D49"/>
    <w:pPr>
      <w:widowControl w:val="0"/>
      <w:pBdr>
        <w:top w:val="nil"/>
        <w:left w:val="nil"/>
        <w:bottom w:val="nil"/>
        <w:right w:val="nil"/>
        <w:between w:val="nil"/>
      </w:pBdr>
      <w:spacing w:line="480" w:lineRule="auto"/>
    </w:pPr>
    <w:rPr>
      <w:rFonts w:ascii="Times New Roman" w:eastAsia="Times New Roman" w:hAnsi="Times New Roman" w:cs="Times New Roman"/>
      <w:color w:val="000000"/>
    </w:rPr>
  </w:style>
  <w:style w:type="paragraph" w:styleId="Heading2">
    <w:name w:val="heading 2"/>
    <w:basedOn w:val="Normal"/>
    <w:next w:val="Normal"/>
    <w:link w:val="Heading2Char"/>
    <w:rsid w:val="00625D49"/>
    <w:pPr>
      <w:keepNext/>
      <w:keepLines/>
      <w:spacing w:before="360" w:after="120" w:line="276" w:lineRule="auto"/>
      <w:contextualSpacing/>
      <w:outlineLvl w:val="1"/>
    </w:pPr>
    <w:rPr>
      <w:rFonts w:eastAsia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25D49"/>
    <w:rPr>
      <w:rFonts w:ascii="Times New Roman" w:eastAsia="Arial" w:hAnsi="Times New Roman" w:cs="Times New Roman"/>
      <w:b/>
      <w:color w:val="000000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625D49"/>
    <w:pPr>
      <w:spacing w:after="200"/>
    </w:pPr>
    <w:rPr>
      <w:b/>
      <w:iCs/>
      <w:color w:val="000000" w:themeColor="text1"/>
      <w:szCs w:val="18"/>
    </w:rPr>
  </w:style>
  <w:style w:type="paragraph" w:styleId="Footer">
    <w:name w:val="footer"/>
    <w:basedOn w:val="Normal"/>
    <w:link w:val="FooterChar"/>
    <w:uiPriority w:val="99"/>
    <w:unhideWhenUsed/>
    <w:rsid w:val="00625D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D49"/>
    <w:rPr>
      <w:rFonts w:ascii="Times New Roman" w:eastAsia="Times New Roman" w:hAnsi="Times New Roman" w:cs="Times New Roman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625D49"/>
  </w:style>
  <w:style w:type="character" w:styleId="LineNumber">
    <w:name w:val="line number"/>
    <w:basedOn w:val="DefaultParagraphFont"/>
    <w:uiPriority w:val="99"/>
    <w:semiHidden/>
    <w:unhideWhenUsed/>
    <w:rsid w:val="00625D49"/>
  </w:style>
  <w:style w:type="paragraph" w:styleId="ListParagraph">
    <w:name w:val="List Paragraph"/>
    <w:basedOn w:val="Normal"/>
    <w:uiPriority w:val="34"/>
    <w:qFormat/>
    <w:rsid w:val="00625D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56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6F"/>
    <w:rPr>
      <w:rFonts w:ascii="Times New Roman" w:eastAsia="Times New Roman" w:hAnsi="Times New Roman" w:cs="Times New Roman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4C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C0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C0D"/>
    <w:rPr>
      <w:rFonts w:ascii="Times New Roman" w:eastAsia="Times New Roman" w:hAnsi="Times New Roman"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C0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C0D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1774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S3 File. Overall slow-down efforts </vt:lpstr>
    </vt:vector>
  </TitlesOfParts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Chion, Clément</dc:creator>
  <cp:keywords/>
  <dc:description/>
  <cp:lastModifiedBy>Chion, Clément</cp:lastModifiedBy>
  <cp:revision>3</cp:revision>
  <cp:lastPrinted>2017-11-16T15:50:00Z</cp:lastPrinted>
  <dcterms:created xsi:type="dcterms:W3CDTF">2018-07-27T20:42:00Z</dcterms:created>
  <dcterms:modified xsi:type="dcterms:W3CDTF">2018-08-16T20:20:00Z</dcterms:modified>
</cp:coreProperties>
</file>