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F0" w:rsidRPr="00886DFF" w:rsidRDefault="00F2009B" w:rsidP="00F2009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6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440537" w:rsidRPr="00886DF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86DFF">
        <w:rPr>
          <w:rFonts w:ascii="Times New Roman" w:hAnsi="Times New Roman" w:cs="Times New Roman"/>
          <w:b/>
          <w:sz w:val="24"/>
          <w:szCs w:val="24"/>
          <w:lang w:val="en-US"/>
        </w:rPr>
        <w:t>ethods</w:t>
      </w:r>
    </w:p>
    <w:p w:rsidR="00844FEB" w:rsidRPr="00886DFF" w:rsidRDefault="00DD1C85" w:rsidP="0018366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DFF">
        <w:rPr>
          <w:rFonts w:ascii="Times New Roman" w:hAnsi="Times New Roman" w:cs="Times New Roman"/>
          <w:b/>
          <w:sz w:val="24"/>
          <w:szCs w:val="24"/>
          <w:lang w:val="en-US"/>
        </w:rPr>
        <w:t>Clinical samples</w:t>
      </w:r>
      <w:r w:rsidR="00F2009B" w:rsidRPr="00886DF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2009B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Clinical samples </w:t>
      </w:r>
      <w:r w:rsidR="00844FEB" w:rsidRPr="00886DFF">
        <w:rPr>
          <w:rFonts w:ascii="Times New Roman" w:hAnsi="Times New Roman" w:cs="Times New Roman"/>
          <w:sz w:val="24"/>
          <w:szCs w:val="24"/>
          <w:lang w:val="en-US"/>
        </w:rPr>
        <w:t>(n=120) were collected from patients diagnosed with syphilis from four different hospitals in Switzerland (</w:t>
      </w:r>
      <w:r w:rsidR="00844FEB" w:rsidRPr="00886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Hospitals and Faculty of Medicine, University of Geneva, Geneva; Department of Infectious Diseases, Centre </w:t>
      </w:r>
      <w:proofErr w:type="spellStart"/>
      <w:r w:rsidR="00844FEB" w:rsidRPr="00886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Hospitalier</w:t>
      </w:r>
      <w:proofErr w:type="spellEnd"/>
      <w:r w:rsidR="00844FEB" w:rsidRPr="00886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4FEB" w:rsidRPr="00886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Universitaire</w:t>
      </w:r>
      <w:proofErr w:type="spellEnd"/>
      <w:r w:rsidR="00844FEB" w:rsidRPr="00886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Vaudois, Lausanne; Department of Dermatology, </w:t>
      </w:r>
      <w:proofErr w:type="spellStart"/>
      <w:r w:rsidR="00844FEB" w:rsidRPr="00886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Triemlispital</w:t>
      </w:r>
      <w:proofErr w:type="spellEnd"/>
      <w:r w:rsidR="00844FEB" w:rsidRPr="00886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Zurich; </w:t>
      </w:r>
      <w:r w:rsidR="00844FEB" w:rsidRPr="00886DFF">
        <w:rPr>
          <w:rFonts w:ascii="Times New Roman" w:hAnsi="Times New Roman" w:cs="Times New Roman"/>
          <w:sz w:val="24"/>
          <w:szCs w:val="24"/>
          <w:lang w:val="en-US"/>
        </w:rPr>
        <w:t>Department of Dermatology, University Hospital Zurich, Zurich)</w:t>
      </w:r>
      <w:r w:rsidR="00B531C0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, a private laboratory in Switzerland (IMD </w:t>
      </w:r>
      <w:proofErr w:type="spellStart"/>
      <w:r w:rsidR="00B531C0" w:rsidRPr="00886DFF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="00B531C0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1C0" w:rsidRPr="00886DFF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="00B531C0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1C0" w:rsidRPr="00886DFF">
        <w:rPr>
          <w:rFonts w:ascii="Times New Roman" w:hAnsi="Times New Roman" w:cs="Times New Roman"/>
          <w:sz w:val="24"/>
          <w:szCs w:val="24"/>
          <w:lang w:val="en-US"/>
        </w:rPr>
        <w:t>medizinische</w:t>
      </w:r>
      <w:proofErr w:type="spellEnd"/>
      <w:r w:rsidR="00B531C0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B531C0" w:rsidRPr="00886DFF">
        <w:rPr>
          <w:rFonts w:ascii="Times New Roman" w:hAnsi="Times New Roman" w:cs="Times New Roman"/>
          <w:sz w:val="24"/>
          <w:szCs w:val="24"/>
          <w:lang w:val="en-US"/>
        </w:rPr>
        <w:t>molekulare</w:t>
      </w:r>
      <w:proofErr w:type="spellEnd"/>
      <w:r w:rsidR="00B531C0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1C0" w:rsidRPr="00886DFF">
        <w:rPr>
          <w:rFonts w:ascii="Times New Roman" w:hAnsi="Times New Roman" w:cs="Times New Roman"/>
          <w:sz w:val="24"/>
          <w:szCs w:val="24"/>
          <w:lang w:val="en-US"/>
        </w:rPr>
        <w:t>Diagnostik</w:t>
      </w:r>
      <w:proofErr w:type="spellEnd"/>
      <w:r w:rsidR="00B531C0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AG, Zurich)</w:t>
      </w:r>
      <w:r w:rsidR="00183668" w:rsidRPr="00886D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4FEB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3668" w:rsidRPr="00886DFF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844FEB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hospital in </w:t>
      </w:r>
      <w:r w:rsidR="00183668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Lyon, </w:t>
      </w:r>
      <w:r w:rsidR="00844FEB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France </w:t>
      </w:r>
      <w:r w:rsidR="00183668" w:rsidRPr="00886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="00844FEB" w:rsidRPr="00886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Hospices civils de Lyon, Lyon</w:t>
      </w:r>
      <w:r w:rsidR="00844FEB" w:rsidRPr="00886D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83668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and one sexually-transmitted diseases outpatient clinic in Paris, France (</w:t>
      </w:r>
      <w:r w:rsidR="00183668" w:rsidRPr="00886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Medical Biology, Institute Alfred Fournier, Paris)</w:t>
      </w:r>
      <w:r w:rsidR="00844FEB" w:rsidRPr="00886D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1C85" w:rsidRPr="00886DFF" w:rsidRDefault="00F75F37" w:rsidP="00F2009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DFF">
        <w:rPr>
          <w:rFonts w:ascii="Times New Roman" w:hAnsi="Times New Roman" w:cs="Times New Roman"/>
          <w:b/>
          <w:sz w:val="24"/>
          <w:szCs w:val="24"/>
          <w:lang w:val="en-US"/>
        </w:rPr>
        <w:t>DNA isolation of samples collected in Zurich</w:t>
      </w:r>
      <w:r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2009B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A total of 0.5 ml of swab supernatants were centrifuged at 14 000 rpm for 10 min. The resulting pellets were </w:t>
      </w:r>
      <w:r w:rsidR="00F2009B" w:rsidRPr="00886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incubated with </w:t>
      </w:r>
      <w:r w:rsidR="00822AC0" w:rsidRPr="00886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40 </w:t>
      </w:r>
      <w:proofErr w:type="spellStart"/>
      <w:r w:rsidR="00822AC0" w:rsidRPr="00886DFF">
        <w:rPr>
          <w:rStyle w:val="Zdraznn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μ</w:t>
      </w:r>
      <w:r w:rsidR="00822AC0" w:rsidRPr="00886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proofErr w:type="spellEnd"/>
      <w:r w:rsidR="00822AC0" w:rsidRPr="00886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proteinase K (Roche Diagnostics, </w:t>
      </w:r>
      <w:proofErr w:type="spellStart"/>
      <w:r w:rsidR="00822AC0" w:rsidRPr="00886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Rotkreuz</w:t>
      </w:r>
      <w:proofErr w:type="spellEnd"/>
      <w:r w:rsidR="00822AC0" w:rsidRPr="00886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Switzerland) </w:t>
      </w:r>
      <w:r w:rsidR="00F2009B" w:rsidRPr="00886DFF">
        <w:rPr>
          <w:rFonts w:ascii="Times New Roman" w:hAnsi="Times New Roman" w:cs="Times New Roman"/>
          <w:sz w:val="24"/>
          <w:szCs w:val="24"/>
          <w:lang w:val="en-US"/>
        </w:rPr>
        <w:t>at 54°C with 300 rpm for 2 h. After proteinase K inactivation (94°C for 10 min) the samples were centrifuged at 14 000 rpm for 10 min and the supernatants were used for further analyses</w:t>
      </w:r>
      <w:r w:rsidR="001D51FA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6778" w:rsidRPr="00886DFF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F2009B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D1C85" w:rsidRPr="00886DFF" w:rsidRDefault="00F75F37" w:rsidP="00F2009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DNA isolation of samples collected in Paris, Lausanne, Lyon and Geneva. </w:t>
      </w:r>
      <w:r w:rsidRPr="00886DFF">
        <w:rPr>
          <w:rFonts w:ascii="Times New Roman" w:hAnsi="Times New Roman" w:cs="Times New Roman"/>
          <w:sz w:val="24"/>
          <w:szCs w:val="24"/>
          <w:lang w:val="en-US"/>
        </w:rPr>
        <w:t>DNA was isolated from 400</w:t>
      </w:r>
      <w:r w:rsidR="00DF7998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µl </w:t>
      </w:r>
      <w:r w:rsidR="00E45189" w:rsidRPr="00886DFF">
        <w:rPr>
          <w:rFonts w:ascii="Times New Roman" w:hAnsi="Times New Roman" w:cs="Times New Roman"/>
          <w:sz w:val="24"/>
          <w:szCs w:val="24"/>
          <w:lang w:val="en-US"/>
        </w:rPr>
        <w:t>of swab extracts</w:t>
      </w:r>
      <w:r w:rsidRPr="00886DFF">
        <w:rPr>
          <w:rFonts w:ascii="Times New Roman" w:hAnsi="Times New Roman" w:cs="Times New Roman"/>
          <w:sz w:val="24"/>
          <w:szCs w:val="24"/>
          <w:lang w:val="en-US"/>
        </w:rPr>
        <w:t>. Mechanical lysis (glass beads &lt;10</w:t>
      </w:r>
      <w:r w:rsidRPr="00886D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710DA7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DFF">
        <w:rPr>
          <w:rFonts w:ascii="Times New Roman" w:hAnsi="Times New Roman" w:cs="Times New Roman"/>
          <w:sz w:val="24"/>
          <w:szCs w:val="24"/>
          <w:lang w:val="en-US"/>
        </w:rPr>
        <w:t>µm</w:t>
      </w:r>
      <w:r w:rsidR="002B5863" w:rsidRPr="00886DF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Sigma</w:t>
      </w:r>
      <w:r w:rsidR="002B5863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B5863" w:rsidRPr="00886DFF">
        <w:rPr>
          <w:rFonts w:ascii="Times New Roman" w:hAnsi="Times New Roman" w:cs="Times New Roman"/>
          <w:sz w:val="24"/>
          <w:szCs w:val="24"/>
          <w:lang w:val="en-US"/>
        </w:rPr>
        <w:t>Buchs</w:t>
      </w:r>
      <w:proofErr w:type="spellEnd"/>
      <w:r w:rsidR="002B5863" w:rsidRPr="00886DFF">
        <w:rPr>
          <w:rFonts w:ascii="Times New Roman" w:hAnsi="Times New Roman" w:cs="Times New Roman"/>
          <w:sz w:val="24"/>
          <w:szCs w:val="24"/>
          <w:lang w:val="en-US"/>
        </w:rPr>
        <w:t>, Switzerland</w:t>
      </w:r>
      <w:r w:rsidRPr="00886DFF">
        <w:rPr>
          <w:rFonts w:ascii="Times New Roman" w:hAnsi="Times New Roman" w:cs="Times New Roman"/>
          <w:sz w:val="24"/>
          <w:szCs w:val="24"/>
          <w:lang w:val="en-US"/>
        </w:rPr>
        <w:t>) was performed wi</w:t>
      </w:r>
      <w:r w:rsidR="00710DA7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th a mickle apparatus during 5 </w:t>
      </w:r>
      <w:r w:rsidR="002B5863" w:rsidRPr="00886DFF"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Pr="00886DFF">
        <w:rPr>
          <w:rFonts w:ascii="Times New Roman" w:hAnsi="Times New Roman" w:cs="Times New Roman"/>
          <w:sz w:val="24"/>
          <w:szCs w:val="24"/>
          <w:lang w:val="en-US"/>
        </w:rPr>
        <w:t>. The supernatant was then incubated 30 minutes at 37°C with a lytic enzyme cocktail (4µl of LYT030 = N-</w:t>
      </w:r>
      <w:proofErr w:type="spellStart"/>
      <w:r w:rsidRPr="00886DFF">
        <w:rPr>
          <w:rFonts w:ascii="Times New Roman" w:hAnsi="Times New Roman" w:cs="Times New Roman"/>
          <w:sz w:val="24"/>
          <w:szCs w:val="24"/>
          <w:lang w:val="en-US"/>
        </w:rPr>
        <w:t>acetylmuramidase</w:t>
      </w:r>
      <w:proofErr w:type="spellEnd"/>
      <w:r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="002B5863" w:rsidRPr="00886DF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886DFF">
        <w:rPr>
          <w:rFonts w:ascii="Times New Roman" w:hAnsi="Times New Roman" w:cs="Times New Roman"/>
          <w:sz w:val="24"/>
          <w:szCs w:val="24"/>
          <w:lang w:val="en-US"/>
        </w:rPr>
        <w:t>ymolase</w:t>
      </w:r>
      <w:proofErr w:type="spellEnd"/>
      <w:r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in a glycerol/Tris-Acetate buffer) and a detergent bacterial lysis buffer (160µl of </w:t>
      </w:r>
      <w:proofErr w:type="spellStart"/>
      <w:r w:rsidRPr="00886DFF">
        <w:rPr>
          <w:rFonts w:ascii="Times New Roman" w:hAnsi="Times New Roman" w:cs="Times New Roman"/>
          <w:sz w:val="24"/>
          <w:szCs w:val="24"/>
          <w:lang w:val="en-US"/>
        </w:rPr>
        <w:t>rMBF</w:t>
      </w:r>
      <w:proofErr w:type="spellEnd"/>
      <w:r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buffer</w:t>
      </w:r>
      <w:r w:rsidR="00710DA7" w:rsidRPr="00886DF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Roche Diagnostics GmbH, Mannheim, Germany). The samples were processed with the </w:t>
      </w:r>
      <w:proofErr w:type="spellStart"/>
      <w:r w:rsidRPr="00886DFF">
        <w:rPr>
          <w:rFonts w:ascii="Times New Roman" w:hAnsi="Times New Roman" w:cs="Times New Roman"/>
          <w:sz w:val="24"/>
          <w:szCs w:val="24"/>
          <w:lang w:val="en-US"/>
        </w:rPr>
        <w:t>MagNa</w:t>
      </w:r>
      <w:proofErr w:type="spellEnd"/>
      <w:r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Pure compact system (Roche Diagnostics GmbH, Mannheim, Germany) using the nucleic acid isolation kit I according to the "blood" protocol, yielding an elution volume of 100µl</w:t>
      </w:r>
      <w:r w:rsidR="00582706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[2]</w:t>
      </w:r>
      <w:r w:rsidRPr="00886D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009B" w:rsidRPr="00886DFF" w:rsidRDefault="00DD1C85" w:rsidP="00F2009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DF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qPCR.</w:t>
      </w:r>
      <w:r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09B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Real-time PCR targeting the 16S </w:t>
      </w:r>
      <w:proofErr w:type="spellStart"/>
      <w:r w:rsidR="00F2009B" w:rsidRPr="00886DFF">
        <w:rPr>
          <w:rFonts w:ascii="Times New Roman" w:hAnsi="Times New Roman" w:cs="Times New Roman"/>
          <w:sz w:val="24"/>
          <w:szCs w:val="24"/>
          <w:lang w:val="en-US"/>
        </w:rPr>
        <w:t>rRNA</w:t>
      </w:r>
      <w:proofErr w:type="spellEnd"/>
      <w:r w:rsidR="00F2009B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gene </w:t>
      </w:r>
      <w:r w:rsidR="007305A1" w:rsidRPr="00886DFF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B5863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47 </w:t>
      </w:r>
      <w:proofErr w:type="spellStart"/>
      <w:r w:rsidR="002B5863" w:rsidRPr="00886DFF">
        <w:rPr>
          <w:rFonts w:ascii="Times New Roman" w:hAnsi="Times New Roman" w:cs="Times New Roman"/>
          <w:sz w:val="24"/>
          <w:szCs w:val="24"/>
          <w:lang w:val="en-US"/>
        </w:rPr>
        <w:t>kDa</w:t>
      </w:r>
      <w:proofErr w:type="spellEnd"/>
      <w:r w:rsidR="002B5863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membrane lipoprotein gene </w:t>
      </w:r>
      <w:r w:rsidR="00F2009B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was used for TPA DNA quantification as described previously </w:t>
      </w:r>
      <w:r w:rsidR="00582706" w:rsidRPr="00886DFF">
        <w:rPr>
          <w:rFonts w:ascii="Times New Roman" w:hAnsi="Times New Roman" w:cs="Times New Roman"/>
          <w:sz w:val="24"/>
          <w:szCs w:val="24"/>
          <w:lang w:val="en-US"/>
        </w:rPr>
        <w:t>[1, 2]</w:t>
      </w:r>
      <w:r w:rsidR="00F2009B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A5695" w:rsidRPr="00886DFF" w:rsidRDefault="00F2009B" w:rsidP="0043400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86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Nested PCR. </w:t>
      </w:r>
      <w:r w:rsidR="001E32ED" w:rsidRPr="00886DFF"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TPA loci (TP0136, TP0462, TP0548, TP0705, TP0865 and 23S rDNA) were amplified in the 120 clinical samples by nested-PCR</w:t>
      </w:r>
      <w:r w:rsidR="00AA6EA3" w:rsidRPr="00886D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25 </w:t>
      </w:r>
      <w:proofErr w:type="spellStart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μl</w:t>
      </w:r>
      <w:proofErr w:type="spellEnd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reaction mixtures </w:t>
      </w:r>
      <w:r w:rsidR="00FD3DB2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the first step of nested PCR </w:t>
      </w:r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contained 2</w:t>
      </w:r>
      <w:r w:rsidR="00390BEB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</w:t>
      </w:r>
      <w:r w:rsidR="004E716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</w:t>
      </w:r>
      <w:r w:rsidR="00390BEB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E716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μM</w:t>
      </w:r>
      <w:proofErr w:type="spellEnd"/>
      <w:r w:rsidR="004E716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dNTP (delivered with </w:t>
      </w:r>
      <w:proofErr w:type="spellStart"/>
      <w:r w:rsidR="00AA6EA3" w:rsidRPr="00886DFF">
        <w:rPr>
          <w:rFonts w:ascii="Times New Roman" w:hAnsi="Times New Roman" w:cs="Times New Roman"/>
          <w:sz w:val="24"/>
          <w:szCs w:val="24"/>
          <w:lang w:val="en-US"/>
        </w:rPr>
        <w:t>PrimeSTAR</w:t>
      </w:r>
      <w:proofErr w:type="spellEnd"/>
      <w:r w:rsidR="00AA6EA3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GLX DNA polymerase; Takara Bio Europe,</w:t>
      </w:r>
      <w:r w:rsidR="00AA6EA3" w:rsidRPr="00886D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Saint </w:t>
      </w:r>
      <w:proofErr w:type="spellStart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Germain</w:t>
      </w:r>
      <w:proofErr w:type="spellEnd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</w:t>
      </w:r>
      <w:proofErr w:type="spellEnd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Laye</w:t>
      </w:r>
      <w:proofErr w:type="spellEnd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France), 5 </w:t>
      </w:r>
      <w:proofErr w:type="spellStart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μl</w:t>
      </w:r>
      <w:proofErr w:type="spellEnd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A6EA3" w:rsidRPr="00886DFF">
        <w:rPr>
          <w:rFonts w:ascii="Times New Roman" w:hAnsi="Times New Roman" w:cs="Times New Roman"/>
          <w:sz w:val="24"/>
          <w:szCs w:val="24"/>
          <w:lang w:val="en-US"/>
        </w:rPr>
        <w:t>of 5x GLX buffer</w:t>
      </w:r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9.5 </w:t>
      </w:r>
      <w:proofErr w:type="spellStart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μM</w:t>
      </w:r>
      <w:proofErr w:type="spellEnd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each primer, 0.625 U of</w:t>
      </w:r>
      <w:r w:rsidR="00AA6EA3" w:rsidRPr="0088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="00AA6EA3" w:rsidRPr="00886DFF">
        <w:rPr>
          <w:rFonts w:ascii="Times New Roman" w:hAnsi="Times New Roman" w:cs="Times New Roman"/>
          <w:sz w:val="24"/>
          <w:szCs w:val="24"/>
          <w:lang w:val="en-US"/>
        </w:rPr>
        <w:t>PrimeSTAR</w:t>
      </w:r>
      <w:proofErr w:type="spellEnd"/>
      <w:r w:rsidR="00AA6EA3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GLX DNA polymerase</w:t>
      </w:r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A6EA3" w:rsidRPr="00886DFF">
        <w:rPr>
          <w:rFonts w:ascii="Times New Roman" w:hAnsi="Times New Roman" w:cs="Times New Roman"/>
          <w:sz w:val="24"/>
          <w:szCs w:val="24"/>
          <w:lang w:val="en-US"/>
        </w:rPr>
        <w:t>(Takara Bio Europe,</w:t>
      </w:r>
      <w:r w:rsidR="00AA6EA3" w:rsidRPr="00886D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Saint </w:t>
      </w:r>
      <w:proofErr w:type="spellStart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Germain</w:t>
      </w:r>
      <w:proofErr w:type="spellEnd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</w:t>
      </w:r>
      <w:proofErr w:type="spellEnd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Laye</w:t>
      </w:r>
      <w:proofErr w:type="spellEnd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France</w:t>
      </w:r>
      <w:r w:rsidR="00AA6EA3" w:rsidRPr="00886D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and 1 </w:t>
      </w:r>
      <w:proofErr w:type="spellStart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μl</w:t>
      </w:r>
      <w:proofErr w:type="spellEnd"/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DNA. A touchdown protocol was used for the first PCR at the following conditions: initial denaturation at 94°C for 1 min; 8 cycles: 98°C for 10 s, 68°C for 15 s (annealing temperature gradually reduced by 1°C/every cycle), and 68°C for 1 min and 45 s; 35 cycles: 98°C for 10 s, 61°C for 15 s, and 68°C for 1 min and 45s (43 cycles in total); followed by the final extension at 68°C for 7 min. The second P</w:t>
      </w:r>
      <w:r w:rsidR="00E60471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 was performed as described previously</w:t>
      </w:r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60471" w:rsidRPr="00886DFF"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="00AA6EA3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Briefly, each PCR mixture contained </w:t>
      </w:r>
      <w:r w:rsidR="00B531C0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200</w:t>
      </w:r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531C0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μM</w:t>
      </w:r>
      <w:proofErr w:type="spellEnd"/>
      <w:r w:rsidR="00B531C0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deoxynucleotide</w:t>
      </w:r>
      <w:proofErr w:type="spellEnd"/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triphosphate (dNTP) mixture, 2.5 </w:t>
      </w:r>
      <w:proofErr w:type="spellStart"/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μl</w:t>
      </w:r>
      <w:proofErr w:type="spellEnd"/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ThermoPol</w:t>
      </w:r>
      <w:proofErr w:type="spellEnd"/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Reaction buffer, 25 </w:t>
      </w:r>
      <w:proofErr w:type="spellStart"/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μM</w:t>
      </w:r>
      <w:proofErr w:type="spellEnd"/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each primer, 0.25 U of</w:t>
      </w:r>
      <w:r w:rsidR="00F73F1D" w:rsidRPr="0088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="00F73F1D" w:rsidRPr="00886DFF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Taq</w:t>
      </w:r>
      <w:proofErr w:type="spellEnd"/>
      <w:r w:rsidR="00F73F1D" w:rsidRPr="0088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polymerase (New England </w:t>
      </w:r>
      <w:proofErr w:type="spellStart"/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BioLabs</w:t>
      </w:r>
      <w:proofErr w:type="spellEnd"/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Ipswich, MA, USA), and 1 </w:t>
      </w:r>
      <w:proofErr w:type="spellStart"/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μl</w:t>
      </w:r>
      <w:proofErr w:type="spellEnd"/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34009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 PCR product obtained from the first step of nested PCR</w:t>
      </w:r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The reaction mixture was supplemented with PCR-grade water to a final volume of 25 </w:t>
      </w:r>
      <w:proofErr w:type="spellStart"/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μl</w:t>
      </w:r>
      <w:proofErr w:type="spellEnd"/>
      <w:r w:rsidR="00F73F1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34009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PCR amplification of all loci </w:t>
      </w:r>
      <w:r w:rsidR="00BD3AF9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the second step </w:t>
      </w:r>
      <w:r w:rsidR="00434009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was performed under the following cycling conditions:  94°C (1 min); 94°C (30 s), 50°C (30 s), and 72°C (1 min, 45 s) for 40 cycles; and 72°C (7 min).</w:t>
      </w:r>
      <w:r w:rsidR="00434009" w:rsidRPr="00886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EA3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Primer sequences are shown in the Supplementary Table 3.</w:t>
      </w:r>
    </w:p>
    <w:p w:rsidR="00EB326C" w:rsidRPr="00886DFF" w:rsidRDefault="00826775" w:rsidP="00B1369B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6D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Statistical methods. </w:t>
      </w:r>
      <w:r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Genetic characteristics of clinical isolates were examined to test for associations with clinical characteristics</w:t>
      </w:r>
      <w:r w:rsidR="00EB326C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patients</w:t>
      </w:r>
      <w:r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RStudio</w:t>
      </w:r>
      <w:proofErr w:type="spellEnd"/>
      <w:r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(version 1.1.383) was used to run Fisher’s exact tests for categorical variables and Kruskal Wallis test for continuous variables. Genetic characteristics comprised sensitivity/resist</w:t>
      </w:r>
      <w:r w:rsidR="00CA4052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nce to macrolide antibiotics, full allelic profiles (e.g. 1.3.1), allelic variants per gene (e.g. TP0136_1, TP0548_3, TP0705_1) </w:t>
      </w:r>
      <w:r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and </w:t>
      </w:r>
      <w:r w:rsidR="003E3E44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genetic clade </w:t>
      </w:r>
      <w:r w:rsidR="00250CA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SS14 or Nichols-clade</w:t>
      </w:r>
      <w:r w:rsidR="00250CAD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CA4052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clinical characteristics comprised </w:t>
      </w:r>
      <w:r w:rsidR="00CA4052" w:rsidRPr="00886DFF">
        <w:rPr>
          <w:rFonts w:ascii="Times New Roman" w:hAnsi="Times New Roman" w:cs="Times New Roman"/>
          <w:bCs/>
          <w:sz w:val="24"/>
          <w:szCs w:val="24"/>
          <w:lang w:val="en-US"/>
        </w:rPr>
        <w:t>patient’s origin</w:t>
      </w:r>
      <w:r w:rsidR="00EB326C" w:rsidRPr="00886D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(Geneva, Lausanne, Lyon, Paris, Zurich)</w:t>
      </w:r>
      <w:r w:rsidR="00CA4052" w:rsidRPr="00886D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EB326C" w:rsidRPr="00886DFF">
        <w:rPr>
          <w:rFonts w:ascii="Times New Roman" w:hAnsi="Times New Roman" w:cs="Times New Roman"/>
          <w:bCs/>
          <w:sz w:val="24"/>
          <w:szCs w:val="24"/>
          <w:lang w:val="en-US"/>
        </w:rPr>
        <w:t>sexual orientation (MSM, heterosexual)</w:t>
      </w:r>
      <w:r w:rsidR="00CA4052" w:rsidRPr="00886DFF">
        <w:rPr>
          <w:rFonts w:ascii="Times New Roman" w:hAnsi="Times New Roman" w:cs="Times New Roman"/>
          <w:bCs/>
          <w:sz w:val="24"/>
          <w:szCs w:val="24"/>
          <w:lang w:val="en-US"/>
        </w:rPr>
        <w:t>, age</w:t>
      </w:r>
      <w:r w:rsidR="00B1369B" w:rsidRPr="00886D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1B3DD4" w:rsidRPr="00886D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 </w:t>
      </w:r>
      <w:r w:rsidR="00B1369B" w:rsidRPr="00886D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categorical </w:t>
      </w:r>
      <w:r w:rsidR="001B3DD4" w:rsidRPr="00886D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or as a </w:t>
      </w:r>
      <w:r w:rsidR="00B1369B" w:rsidRPr="00886DFF">
        <w:rPr>
          <w:rFonts w:ascii="Times New Roman" w:hAnsi="Times New Roman" w:cs="Times New Roman"/>
          <w:bCs/>
          <w:sz w:val="24"/>
          <w:szCs w:val="24"/>
          <w:lang w:val="en-US"/>
        </w:rPr>
        <w:t>continuous variable)</w:t>
      </w:r>
      <w:r w:rsidR="00CA4052" w:rsidRPr="00886DFF">
        <w:rPr>
          <w:rFonts w:ascii="Times New Roman" w:hAnsi="Times New Roman" w:cs="Times New Roman"/>
          <w:bCs/>
          <w:sz w:val="24"/>
          <w:szCs w:val="24"/>
          <w:lang w:val="en-US"/>
        </w:rPr>
        <w:t>, gender</w:t>
      </w:r>
      <w:r w:rsidR="00EB326C" w:rsidRPr="00886D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(male or female)</w:t>
      </w:r>
      <w:r w:rsidR="00CA4052" w:rsidRPr="00886DFF">
        <w:rPr>
          <w:rFonts w:ascii="Times New Roman" w:hAnsi="Times New Roman" w:cs="Times New Roman"/>
          <w:bCs/>
          <w:sz w:val="24"/>
          <w:szCs w:val="24"/>
          <w:lang w:val="en-US"/>
        </w:rPr>
        <w:t>, HIV infection</w:t>
      </w:r>
      <w:r w:rsidR="00EB326C" w:rsidRPr="00886D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(positive or negative)</w:t>
      </w:r>
      <w:r w:rsidR="00CA4052" w:rsidRPr="00886D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serological results </w:t>
      </w:r>
      <w:r w:rsidR="00EB326C" w:rsidRPr="00886D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(positive or negative) </w:t>
      </w:r>
      <w:r w:rsidR="00CA4052" w:rsidRPr="00886DFF">
        <w:rPr>
          <w:rFonts w:ascii="Times New Roman" w:hAnsi="Times New Roman" w:cs="Times New Roman"/>
          <w:bCs/>
          <w:sz w:val="24"/>
          <w:szCs w:val="24"/>
          <w:lang w:val="en-US"/>
        </w:rPr>
        <w:t>and syphilis stage</w:t>
      </w:r>
      <w:r w:rsidR="00EB326C" w:rsidRPr="00886D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(primary or secondary). </w:t>
      </w:r>
      <w:r w:rsidR="00B1369B" w:rsidRPr="00886D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When using age as </w:t>
      </w:r>
      <w:r w:rsidR="00250CAD" w:rsidRPr="00886D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r w:rsidR="00B1369B" w:rsidRPr="00886D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categorical variable, we divided the patients into seven different age categories: </w:t>
      </w:r>
      <w:r w:rsidR="00EB326C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20-25 (1), 26-30 (2), 31-35(3), 36-40 (4), 41-50 (5), 51-60 (6), above 60 (7)</w:t>
      </w:r>
      <w:r w:rsidR="00B1369B" w:rsidRPr="00886D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440537" w:rsidRPr="00886DFF" w:rsidRDefault="00440537" w:rsidP="0044053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6DFF">
        <w:rPr>
          <w:rFonts w:ascii="Times New Roman" w:hAnsi="Times New Roman" w:cs="Times New Roman"/>
          <w:b/>
          <w:sz w:val="24"/>
          <w:szCs w:val="24"/>
          <w:lang w:val="en-US"/>
        </w:rPr>
        <w:t>Supplementary References</w:t>
      </w:r>
    </w:p>
    <w:p w:rsidR="00206778" w:rsidRPr="00B8106A" w:rsidRDefault="00206778" w:rsidP="00206778">
      <w:pPr>
        <w:pStyle w:val="Odstavecseseznamem"/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106A">
        <w:rPr>
          <w:rFonts w:ascii="Times New Roman" w:hAnsi="Times New Roman" w:cs="Times New Roman"/>
          <w:sz w:val="24"/>
          <w:szCs w:val="24"/>
        </w:rPr>
        <w:t xml:space="preserve">Glatz M, Juricevic N, Altwegg M, </w:t>
      </w:r>
      <w:r w:rsidRPr="00B8106A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B8106A">
        <w:rPr>
          <w:rFonts w:ascii="Times New Roman" w:hAnsi="Times New Roman" w:cs="Times New Roman"/>
          <w:sz w:val="24"/>
          <w:szCs w:val="24"/>
        </w:rPr>
        <w:t xml:space="preserve"> A multicenter prospective trial to asses a new real-time polymerase chain reaction for detection of </w:t>
      </w:r>
      <w:r w:rsidRPr="00B8106A">
        <w:rPr>
          <w:rFonts w:ascii="Times New Roman" w:hAnsi="Times New Roman" w:cs="Times New Roman"/>
          <w:i/>
          <w:sz w:val="24"/>
          <w:szCs w:val="24"/>
        </w:rPr>
        <w:t>Treponema pallidum</w:t>
      </w:r>
      <w:r w:rsidRPr="00B8106A">
        <w:rPr>
          <w:rFonts w:ascii="Times New Roman" w:hAnsi="Times New Roman" w:cs="Times New Roman"/>
          <w:sz w:val="24"/>
          <w:szCs w:val="24"/>
        </w:rPr>
        <w:t xml:space="preserve">, herpes simplex-1/2 and </w:t>
      </w:r>
      <w:r w:rsidRPr="00B8106A">
        <w:rPr>
          <w:rFonts w:ascii="Times New Roman" w:hAnsi="Times New Roman" w:cs="Times New Roman"/>
          <w:i/>
          <w:sz w:val="24"/>
          <w:szCs w:val="24"/>
        </w:rPr>
        <w:t>Haemophilus ducreyi</w:t>
      </w:r>
      <w:r w:rsidRPr="00B8106A">
        <w:rPr>
          <w:rFonts w:ascii="Times New Roman" w:hAnsi="Times New Roman" w:cs="Times New Roman"/>
          <w:sz w:val="24"/>
          <w:szCs w:val="24"/>
        </w:rPr>
        <w:t xml:space="preserve"> in genital, anal and oropharyngeal ulcers. </w:t>
      </w:r>
      <w:r w:rsidRPr="00B8106A">
        <w:rPr>
          <w:rFonts w:ascii="Times New Roman" w:hAnsi="Times New Roman" w:cs="Times New Roman"/>
          <w:iCs/>
          <w:sz w:val="24"/>
          <w:szCs w:val="24"/>
        </w:rPr>
        <w:t xml:space="preserve">Clin Microbiol </w:t>
      </w:r>
      <w:proofErr w:type="spellStart"/>
      <w:r w:rsidRPr="00B8106A">
        <w:rPr>
          <w:rFonts w:ascii="Times New Roman" w:hAnsi="Times New Roman" w:cs="Times New Roman"/>
          <w:iCs/>
          <w:sz w:val="24"/>
          <w:szCs w:val="24"/>
        </w:rPr>
        <w:t>Infect</w:t>
      </w:r>
      <w:proofErr w:type="spellEnd"/>
      <w:r w:rsidR="00B8106A">
        <w:rPr>
          <w:rFonts w:ascii="Times New Roman" w:hAnsi="Times New Roman" w:cs="Times New Roman"/>
          <w:iCs/>
          <w:sz w:val="24"/>
          <w:szCs w:val="24"/>
        </w:rPr>
        <w:t>.</w:t>
      </w:r>
      <w:r w:rsidRPr="00B8106A">
        <w:rPr>
          <w:rFonts w:ascii="Times New Roman" w:hAnsi="Times New Roman" w:cs="Times New Roman"/>
          <w:sz w:val="24"/>
          <w:szCs w:val="24"/>
        </w:rPr>
        <w:t xml:space="preserve"> 2014; </w:t>
      </w:r>
      <w:r w:rsidRPr="00B8106A">
        <w:rPr>
          <w:rFonts w:ascii="Times New Roman" w:hAnsi="Times New Roman" w:cs="Times New Roman"/>
          <w:bCs/>
          <w:sz w:val="24"/>
          <w:szCs w:val="24"/>
        </w:rPr>
        <w:t xml:space="preserve">20: </w:t>
      </w:r>
      <w:r w:rsidRPr="00B8106A">
        <w:rPr>
          <w:rFonts w:ascii="Times New Roman" w:hAnsi="Times New Roman" w:cs="Times New Roman"/>
          <w:sz w:val="24"/>
          <w:szCs w:val="24"/>
        </w:rPr>
        <w:t>1020-1027.</w:t>
      </w:r>
    </w:p>
    <w:p w:rsidR="00582706" w:rsidRPr="00B8106A" w:rsidRDefault="00582706" w:rsidP="00582706">
      <w:pPr>
        <w:pStyle w:val="Odstavecseseznamem"/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adjustRightInd w:val="0"/>
        <w:spacing w:after="0" w:line="480" w:lineRule="auto"/>
        <w:ind w:left="748" w:hanging="391"/>
        <w:rPr>
          <w:rFonts w:ascii="Times New Roman" w:hAnsi="Times New Roman" w:cs="Times New Roman"/>
          <w:sz w:val="24"/>
          <w:szCs w:val="24"/>
        </w:rPr>
      </w:pPr>
      <w:r w:rsidRPr="00B8106A">
        <w:rPr>
          <w:rFonts w:ascii="Times New Roman" w:hAnsi="Times New Roman" w:cs="Times New Roman"/>
          <w:sz w:val="24"/>
          <w:szCs w:val="24"/>
        </w:rPr>
        <w:t xml:space="preserve">Gayet-Ageron A, Ninet B, Toutous-Trellu L, et al. Assessment of the real-time PCR test to diagnose syphilis from diverse biological samples. Sex </w:t>
      </w:r>
      <w:proofErr w:type="spellStart"/>
      <w:r w:rsidRPr="00B8106A">
        <w:rPr>
          <w:rFonts w:ascii="Times New Roman" w:hAnsi="Times New Roman" w:cs="Times New Roman"/>
          <w:sz w:val="24"/>
          <w:szCs w:val="24"/>
        </w:rPr>
        <w:t>Transm</w:t>
      </w:r>
      <w:proofErr w:type="spellEnd"/>
      <w:r w:rsidRPr="00B81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6A">
        <w:rPr>
          <w:rFonts w:ascii="Times New Roman" w:hAnsi="Times New Roman" w:cs="Times New Roman"/>
          <w:sz w:val="24"/>
          <w:szCs w:val="24"/>
        </w:rPr>
        <w:t>Infect</w:t>
      </w:r>
      <w:proofErr w:type="spellEnd"/>
      <w:r w:rsidR="00B8106A">
        <w:rPr>
          <w:rFonts w:ascii="Times New Roman" w:hAnsi="Times New Roman" w:cs="Times New Roman"/>
          <w:sz w:val="24"/>
          <w:szCs w:val="24"/>
        </w:rPr>
        <w:t>.</w:t>
      </w:r>
      <w:r w:rsidRPr="00B8106A">
        <w:rPr>
          <w:rFonts w:ascii="Times New Roman" w:hAnsi="Times New Roman" w:cs="Times New Roman"/>
          <w:sz w:val="24"/>
          <w:szCs w:val="24"/>
        </w:rPr>
        <w:t xml:space="preserve"> 2009; 85(4): 264-269.</w:t>
      </w:r>
    </w:p>
    <w:p w:rsidR="00826775" w:rsidRPr="00B8106A" w:rsidRDefault="00826775" w:rsidP="00826775">
      <w:pPr>
        <w:pStyle w:val="Odstavecseseznamem"/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spacing w:after="240" w:line="48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B8106A">
        <w:rPr>
          <w:rFonts w:ascii="Times New Roman" w:hAnsi="Times New Roman" w:cs="Times New Roman"/>
          <w:sz w:val="24"/>
          <w:szCs w:val="24"/>
        </w:rPr>
        <w:t xml:space="preserve">Matějková P, Flasarová M, Zákoucká H, et al. Macrolide treatment failure in a case of secondary syphilis: a novel A2059G mutation in the 23S rRNA gene of </w:t>
      </w:r>
      <w:r w:rsidRPr="00B8106A">
        <w:rPr>
          <w:rFonts w:ascii="Times New Roman" w:hAnsi="Times New Roman" w:cs="Times New Roman"/>
          <w:i/>
          <w:sz w:val="24"/>
          <w:szCs w:val="24"/>
        </w:rPr>
        <w:t>Treponema pallidum</w:t>
      </w:r>
      <w:r w:rsidRPr="00B8106A">
        <w:rPr>
          <w:rFonts w:ascii="Times New Roman" w:hAnsi="Times New Roman" w:cs="Times New Roman"/>
          <w:sz w:val="24"/>
          <w:szCs w:val="24"/>
        </w:rPr>
        <w:t xml:space="preserve"> subsp. </w:t>
      </w:r>
      <w:r w:rsidRPr="00B8106A">
        <w:rPr>
          <w:rFonts w:ascii="Times New Roman" w:hAnsi="Times New Roman" w:cs="Times New Roman"/>
          <w:i/>
          <w:sz w:val="24"/>
          <w:szCs w:val="24"/>
        </w:rPr>
        <w:t>pallidum</w:t>
      </w:r>
      <w:r w:rsidRPr="00B8106A">
        <w:rPr>
          <w:rFonts w:ascii="Times New Roman" w:hAnsi="Times New Roman" w:cs="Times New Roman"/>
          <w:sz w:val="24"/>
          <w:szCs w:val="24"/>
        </w:rPr>
        <w:t xml:space="preserve">. J Med </w:t>
      </w:r>
      <w:proofErr w:type="spellStart"/>
      <w:r w:rsidRPr="00B8106A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="00B8106A">
        <w:rPr>
          <w:rFonts w:ascii="Times New Roman" w:hAnsi="Times New Roman" w:cs="Times New Roman"/>
          <w:sz w:val="24"/>
          <w:szCs w:val="24"/>
        </w:rPr>
        <w:t>.</w:t>
      </w:r>
      <w:r w:rsidRPr="00B8106A">
        <w:rPr>
          <w:rFonts w:ascii="Times New Roman" w:hAnsi="Times New Roman" w:cs="Times New Roman"/>
          <w:sz w:val="24"/>
          <w:szCs w:val="24"/>
        </w:rPr>
        <w:t xml:space="preserve"> 2009; 58(6):</w:t>
      </w:r>
      <w:r w:rsidR="00B8106A">
        <w:rPr>
          <w:rFonts w:ascii="Times New Roman" w:hAnsi="Times New Roman" w:cs="Times New Roman"/>
          <w:sz w:val="24"/>
          <w:szCs w:val="24"/>
        </w:rPr>
        <w:t xml:space="preserve"> </w:t>
      </w:r>
      <w:r w:rsidRPr="00B8106A">
        <w:rPr>
          <w:rFonts w:ascii="Times New Roman" w:hAnsi="Times New Roman" w:cs="Times New Roman"/>
          <w:sz w:val="24"/>
          <w:szCs w:val="24"/>
        </w:rPr>
        <w:t xml:space="preserve">832–836. </w:t>
      </w:r>
      <w:bookmarkStart w:id="0" w:name="_GoBack"/>
      <w:bookmarkEnd w:id="0"/>
    </w:p>
    <w:sectPr w:rsidR="00826775" w:rsidRPr="00B8106A" w:rsidSect="00F2009B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1C1"/>
    <w:multiLevelType w:val="hybridMultilevel"/>
    <w:tmpl w:val="B3987808"/>
    <w:lvl w:ilvl="0" w:tplc="BB646CC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67E20"/>
    <w:multiLevelType w:val="hybridMultilevel"/>
    <w:tmpl w:val="11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9B"/>
    <w:rsid w:val="001549F0"/>
    <w:rsid w:val="00183668"/>
    <w:rsid w:val="001B3DD4"/>
    <w:rsid w:val="001D51FA"/>
    <w:rsid w:val="001E32ED"/>
    <w:rsid w:val="00206778"/>
    <w:rsid w:val="00250CAD"/>
    <w:rsid w:val="002B5863"/>
    <w:rsid w:val="00345FE6"/>
    <w:rsid w:val="00390BEB"/>
    <w:rsid w:val="00394AC6"/>
    <w:rsid w:val="003E3E44"/>
    <w:rsid w:val="00432A48"/>
    <w:rsid w:val="00434009"/>
    <w:rsid w:val="00440537"/>
    <w:rsid w:val="004E716D"/>
    <w:rsid w:val="00582706"/>
    <w:rsid w:val="00586513"/>
    <w:rsid w:val="005A5695"/>
    <w:rsid w:val="00710DA7"/>
    <w:rsid w:val="007305A1"/>
    <w:rsid w:val="00822AC0"/>
    <w:rsid w:val="00826775"/>
    <w:rsid w:val="00844FEB"/>
    <w:rsid w:val="00886DFF"/>
    <w:rsid w:val="008A57A9"/>
    <w:rsid w:val="00906FF5"/>
    <w:rsid w:val="009C027F"/>
    <w:rsid w:val="009F5F17"/>
    <w:rsid w:val="00AA6EA3"/>
    <w:rsid w:val="00B1369B"/>
    <w:rsid w:val="00B531C0"/>
    <w:rsid w:val="00B8106A"/>
    <w:rsid w:val="00BD3AF9"/>
    <w:rsid w:val="00C83F68"/>
    <w:rsid w:val="00CA0EC0"/>
    <w:rsid w:val="00CA4052"/>
    <w:rsid w:val="00CB34BA"/>
    <w:rsid w:val="00CC4DCD"/>
    <w:rsid w:val="00CF20EA"/>
    <w:rsid w:val="00DD1C85"/>
    <w:rsid w:val="00DF7998"/>
    <w:rsid w:val="00E034D7"/>
    <w:rsid w:val="00E45189"/>
    <w:rsid w:val="00E60471"/>
    <w:rsid w:val="00EB326C"/>
    <w:rsid w:val="00F16670"/>
    <w:rsid w:val="00F2009B"/>
    <w:rsid w:val="00F50A13"/>
    <w:rsid w:val="00F642E4"/>
    <w:rsid w:val="00F65CFD"/>
    <w:rsid w:val="00F73F1D"/>
    <w:rsid w:val="00F75F37"/>
    <w:rsid w:val="00F95CC2"/>
    <w:rsid w:val="00FD3DB2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A53AC-C242-4C47-902A-170CB5C0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F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2009B"/>
  </w:style>
  <w:style w:type="character" w:styleId="Odkaznakoment">
    <w:name w:val="annotation reference"/>
    <w:basedOn w:val="Standardnpsmoodstavce"/>
    <w:uiPriority w:val="99"/>
    <w:semiHidden/>
    <w:unhideWhenUsed/>
    <w:rsid w:val="00F200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009B"/>
    <w:pPr>
      <w:spacing w:after="200"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009B"/>
    <w:rPr>
      <w:sz w:val="20"/>
      <w:szCs w:val="20"/>
      <w:lang w:val="en-US"/>
    </w:rPr>
  </w:style>
  <w:style w:type="character" w:styleId="Zdraznn">
    <w:name w:val="Emphasis"/>
    <w:basedOn w:val="Standardnpsmoodstavce"/>
    <w:uiPriority w:val="20"/>
    <w:qFormat/>
    <w:rsid w:val="00F2009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09B"/>
    <w:rPr>
      <w:rFonts w:ascii="Segoe UI" w:hAnsi="Segoe UI" w:cs="Segoe UI"/>
      <w:sz w:val="18"/>
      <w:szCs w:val="18"/>
    </w:rPr>
  </w:style>
  <w:style w:type="character" w:styleId="slodku">
    <w:name w:val="line number"/>
    <w:basedOn w:val="Standardnpsmoodstavce"/>
    <w:uiPriority w:val="99"/>
    <w:semiHidden/>
    <w:unhideWhenUsed/>
    <w:rsid w:val="00F2009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4AC6"/>
    <w:pPr>
      <w:spacing w:after="160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4AC6"/>
    <w:rPr>
      <w:b/>
      <w:bCs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20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20A7-E5A0-4D1F-9919-3BD12AC0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lindagrillova@gmail.com</dc:creator>
  <cp:lastModifiedBy>Grillová</cp:lastModifiedBy>
  <cp:revision>6</cp:revision>
  <dcterms:created xsi:type="dcterms:W3CDTF">2018-02-08T16:56:00Z</dcterms:created>
  <dcterms:modified xsi:type="dcterms:W3CDTF">2018-02-16T16:21:00Z</dcterms:modified>
</cp:coreProperties>
</file>