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5" w:rsidRPr="00543F05" w:rsidRDefault="00543F05" w:rsidP="00543F0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543F05">
        <w:rPr>
          <w:rFonts w:ascii="Times New Roman" w:eastAsia="Calibri" w:hAnsi="Times New Roman" w:cs="Times New Roman"/>
          <w:b/>
          <w:kern w:val="0"/>
          <w:lang w:eastAsia="en-US" w:bidi="ar-SA"/>
        </w:rPr>
        <w:t>S4 Table.</w:t>
      </w:r>
      <w:proofErr w:type="gramEnd"/>
      <w:r w:rsidRPr="00543F05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proofErr w:type="gramStart"/>
      <w:r w:rsidRPr="00543F05">
        <w:rPr>
          <w:rFonts w:ascii="Times New Roman" w:eastAsia="Calibri" w:hAnsi="Times New Roman" w:cs="Times New Roman"/>
          <w:b/>
          <w:kern w:val="0"/>
          <w:lang w:eastAsia="en-US" w:bidi="ar-SA"/>
        </w:rPr>
        <w:t>A risk ratio (RR) analysis of the results of four secondary prevention RCTs.</w:t>
      </w:r>
      <w:proofErr w:type="gramEnd"/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 xml:space="preserve"> A comparison of the Oslo Diet–Heart Study, Rose Corn Study, Research Committee Low-fat Study, and Medical Research Council’s MRC Soya-bean Oil Trial.</w:t>
      </w:r>
    </w:p>
    <w:tbl>
      <w:tblPr>
        <w:tblStyle w:val="TableGrid5"/>
        <w:tblW w:w="14388" w:type="dxa"/>
        <w:tblLook w:val="04A0" w:firstRow="1" w:lastRow="0" w:firstColumn="1" w:lastColumn="0" w:noHBand="0" w:noVBand="1"/>
      </w:tblPr>
      <w:tblGrid>
        <w:gridCol w:w="2721"/>
        <w:gridCol w:w="2783"/>
        <w:gridCol w:w="2810"/>
        <w:gridCol w:w="3089"/>
        <w:gridCol w:w="2985"/>
      </w:tblGrid>
      <w:tr w:rsidR="00543F05" w:rsidRPr="00543F05" w:rsidTr="00DC6A33">
        <w:trPr>
          <w:trHeight w:val="402"/>
        </w:trPr>
        <w:tc>
          <w:tcPr>
            <w:tcW w:w="2721" w:type="dxa"/>
            <w:vMerge w:val="restart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Trial</w:t>
            </w:r>
          </w:p>
        </w:tc>
        <w:tc>
          <w:tcPr>
            <w:tcW w:w="11667" w:type="dxa"/>
            <w:gridSpan w:val="4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RR (95 % confidence interval)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&lt;1 favours intervention &gt;1 favours control</w:t>
            </w:r>
          </w:p>
        </w:tc>
      </w:tr>
      <w:tr w:rsidR="00543F05" w:rsidRPr="00543F05" w:rsidTr="00DC6A33">
        <w:trPr>
          <w:trHeight w:val="327"/>
        </w:trPr>
        <w:tc>
          <w:tcPr>
            <w:tcW w:w="2721" w:type="dxa"/>
            <w:vMerge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All MI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Fatal CHD (MI &amp; sudden death)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Combined fatal/non-fatal cardiovascular events.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All-cause morality</w:t>
            </w:r>
          </w:p>
        </w:tc>
      </w:tr>
      <w:tr w:rsidR="00543F05" w:rsidRPr="00543F05" w:rsidTr="00DC6A33">
        <w:trPr>
          <w:trHeight w:val="111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Rose Corn Trial [8]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1.67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(0.64 – 4.34)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(0.58 – 37.1)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1.27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(0.72 – 2.23)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4.64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(0.58 – 37.1)</w:t>
            </w:r>
          </w:p>
        </w:tc>
      </w:tr>
      <w:tr w:rsidR="00543F05" w:rsidRPr="00543F05" w:rsidTr="00DC6A33">
        <w:trPr>
          <w:trHeight w:val="114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Rose Olive Trial [8]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1.4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(0.51 – 3.85)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(0.3 – 27)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(0.53 – 1.90)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(0.33 – 27)</w:t>
            </w:r>
          </w:p>
        </w:tc>
      </w:tr>
      <w:tr w:rsidR="00543F05" w:rsidRPr="00543F05" w:rsidTr="00DC6A33">
        <w:trPr>
          <w:trHeight w:val="175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Research Committee Low-Fat [9]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0.96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(0.63 – 1.45)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0.89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(0.49 – 1.62)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1.0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(0.73 – 1.38)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0.87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(0.51 – 1.5)</w:t>
            </w:r>
          </w:p>
        </w:tc>
      </w:tr>
      <w:tr w:rsidR="00543F05" w:rsidRPr="00543F05" w:rsidTr="00DC6A33">
        <w:trPr>
          <w:trHeight w:val="110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MRC Soybean Oil [11]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0.86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(0.61 – 1.22)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0.97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(0.58 – 1.64)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(0.64 – 1.11)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0.88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(0.55 – 1.41)</w:t>
            </w:r>
          </w:p>
        </w:tc>
      </w:tr>
      <w:tr w:rsidR="00543F05" w:rsidRPr="00543F05" w:rsidTr="00DC6A33">
        <w:trPr>
          <w:trHeight w:val="84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Oslo-Diet Heart (5 years)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[10]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0.63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(0.43 – 0.92)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0.74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(0.51 – 1.08)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0.71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(0.55 – 0.92)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0.75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(0.52 – 1.1)</w:t>
            </w:r>
          </w:p>
        </w:tc>
      </w:tr>
      <w:tr w:rsidR="00543F05" w:rsidRPr="00543F05" w:rsidTr="00DC6A33">
        <w:trPr>
          <w:trHeight w:val="436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Total (All studies)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0.83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(0.68 – 1.03)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0.86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(0.66 – 1.13)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0.85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(0.73 – 0.99)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0.83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(0.65 – 1.06)</w:t>
            </w:r>
          </w:p>
        </w:tc>
      </w:tr>
      <w:tr w:rsidR="00543F05" w:rsidRPr="00543F05" w:rsidTr="00DC6A33">
        <w:trPr>
          <w:trHeight w:val="436"/>
        </w:trPr>
        <w:tc>
          <w:tcPr>
            <w:tcW w:w="2721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Total (Excluding Rose Olive)</w:t>
            </w:r>
          </w:p>
        </w:tc>
        <w:tc>
          <w:tcPr>
            <w:tcW w:w="27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0.82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(0.67 – 1.02)</w:t>
            </w:r>
          </w:p>
        </w:tc>
        <w:tc>
          <w:tcPr>
            <w:tcW w:w="2810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0.87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(0.67 – 1.14)</w:t>
            </w:r>
          </w:p>
        </w:tc>
        <w:tc>
          <w:tcPr>
            <w:tcW w:w="3089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0.84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(0.72 – 0.98)</w:t>
            </w:r>
          </w:p>
        </w:tc>
        <w:tc>
          <w:tcPr>
            <w:tcW w:w="2983" w:type="dxa"/>
          </w:tcPr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0.84</w:t>
            </w:r>
          </w:p>
          <w:p w:rsidR="00543F05" w:rsidRPr="00543F05" w:rsidRDefault="00543F05" w:rsidP="00543F05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43F0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(0.66 – 1.1)</w:t>
            </w:r>
          </w:p>
        </w:tc>
      </w:tr>
    </w:tbl>
    <w:p w:rsidR="00543F05" w:rsidRPr="00543F05" w:rsidRDefault="00543F05" w:rsidP="00543F05">
      <w:pPr>
        <w:widowControl/>
        <w:suppressAutoHyphens w:val="0"/>
        <w:spacing w:after="160" w:line="259" w:lineRule="auto"/>
        <w:ind w:firstLine="720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</w:p>
    <w:p w:rsidR="00543F05" w:rsidRPr="00543F05" w:rsidRDefault="00543F05" w:rsidP="00543F05">
      <w:pPr>
        <w:widowControl/>
        <w:suppressAutoHyphens w:val="0"/>
        <w:spacing w:after="160" w:line="259" w:lineRule="auto"/>
        <w:ind w:firstLine="720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>The above table (S4 Table) contains results of a RR analysis performed in Microsoft Excel of the raw mortality and morbidity data contained in the above table (S3 Table). RR was established by</w:t>
      </w:r>
    </w:p>
    <w:p w:rsidR="00543F05" w:rsidRPr="00543F05" w:rsidRDefault="00543F05" w:rsidP="00543F05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i/>
          <w:kern w:val="0"/>
          <w:lang w:eastAsia="en-US" w:bidi="ar-SA"/>
        </w:rPr>
      </w:pPr>
      <m:oMathPara>
        <m:oMath>
          <m:r>
            <w:rPr>
              <w:rFonts w:ascii="Cambria Math" w:eastAsia="Calibri" w:hAnsi="Cambria Math" w:cs="Times New Roman"/>
              <w:kern w:val="0"/>
              <w:lang w:eastAsia="en-US" w:bidi="ar-SA"/>
            </w:rPr>
            <m:t>RR=</m:t>
          </m:r>
          <m:box>
            <m:boxPr>
              <m:ctrlPr>
                <w:rPr>
                  <w:rFonts w:ascii="Cambria Math" w:eastAsia="Calibri" w:hAnsi="Cambria Math" w:cs="Times New Roman"/>
                  <w:i/>
                  <w:kern w:val="0"/>
                  <w:lang w:eastAsia="en-US" w:bidi="ar-SA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a/(a+b)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c/(c+d)</m:t>
                  </m:r>
                </m:den>
              </m:f>
            </m:e>
          </m:box>
        </m:oMath>
      </m:oMathPara>
    </w:p>
    <w:p w:rsidR="00543F05" w:rsidRPr="00543F05" w:rsidRDefault="00543F05" w:rsidP="00543F0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where </w:t>
      </w:r>
      <w:r w:rsidRPr="00543F05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a </w:t>
      </w: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 xml:space="preserve">is the number in the exposed group with a disease, </w:t>
      </w:r>
      <w:r w:rsidRPr="00543F05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b </w:t>
      </w: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 xml:space="preserve">the number in the exposed group without a disease, </w:t>
      </w:r>
      <w:r w:rsidRPr="00543F05">
        <w:rPr>
          <w:rFonts w:ascii="Times New Roman" w:eastAsia="Calibri" w:hAnsi="Times New Roman" w:cs="Times New Roman"/>
          <w:i/>
          <w:kern w:val="0"/>
          <w:lang w:eastAsia="en-US" w:bidi="ar-SA"/>
        </w:rPr>
        <w:t>c</w:t>
      </w: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 xml:space="preserve"> the number in the unexposed group with a disease, and </w:t>
      </w:r>
      <w:r w:rsidRPr="00543F05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d </w:t>
      </w: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 xml:space="preserve">the number without a disease in the unexposed group. </w:t>
      </w:r>
    </w:p>
    <w:p w:rsidR="00543F05" w:rsidRPr="00543F05" w:rsidRDefault="00543F05" w:rsidP="00543F0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43F05">
        <w:rPr>
          <w:rFonts w:ascii="Times New Roman" w:eastAsia="Calibri" w:hAnsi="Times New Roman" w:cs="Times New Roman"/>
          <w:kern w:val="0"/>
          <w:lang w:eastAsia="en-US" w:bidi="ar-SA"/>
        </w:rPr>
        <w:t>To establish the standard error of RR, we convert to a natural log (ln) scale</w:t>
      </w:r>
    </w:p>
    <w:p w:rsidR="00543F05" w:rsidRPr="00543F05" w:rsidRDefault="00543F05" w:rsidP="00543F0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43F05" w:rsidRPr="00543F05" w:rsidRDefault="00543F05" w:rsidP="00543F0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m:oMathPara>
        <m:oMath>
          <m:r>
            <w:rPr>
              <w:rFonts w:ascii="Cambria Math" w:eastAsia="Calibri" w:hAnsi="Cambria Math" w:cs="Times New Roman"/>
              <w:kern w:val="0"/>
              <w:lang w:eastAsia="en-US" w:bidi="ar-SA"/>
            </w:rPr>
            <m:t>SE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kern w:val="0"/>
                  <w:lang w:eastAsia="en-US" w:bidi="ar-SA"/>
                </w:rPr>
              </m:ctrlPr>
            </m:dPr>
            <m:e>
              <m: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ln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RR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kern w:val="0"/>
              <w:lang w:eastAsia="en-US" w:bidi="ar-SA"/>
            </w:rPr>
            <m:t xml:space="preserve">= 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i/>
                  <w:kern w:val="0"/>
                  <w:lang w:eastAsia="en-US" w:bidi="ar-S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a</m:t>
                  </m:r>
                </m:den>
              </m:f>
              <m: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c</m:t>
                  </m:r>
                </m:den>
              </m:f>
              <m: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a+b</m:t>
                  </m:r>
                </m:den>
              </m:f>
              <m:r>
                <w:rPr>
                  <w:rFonts w:ascii="Cambria Math" w:eastAsia="Calibri" w:hAnsi="Cambria Math" w:cs="Times New Roman"/>
                  <w:kern w:val="0"/>
                  <w:lang w:eastAsia="en-US" w:bidi="ar-SA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kern w:val="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kern w:val="0"/>
                      <w:lang w:eastAsia="en-US" w:bidi="ar-SA"/>
                    </w:rPr>
                    <m:t>c+d</m:t>
                  </m:r>
                </m:den>
              </m:f>
            </m:e>
          </m:rad>
        </m:oMath>
      </m:oMathPara>
    </w:p>
    <w:p w:rsidR="00543F05" w:rsidRPr="00543F05" w:rsidRDefault="00543F05" w:rsidP="00543F05">
      <w:pPr>
        <w:widowControl/>
        <w:shd w:val="clear" w:color="auto" w:fill="FFFFFF"/>
        <w:suppressAutoHyphens w:val="0"/>
        <w:spacing w:after="90"/>
        <w:jc w:val="both"/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</w:pPr>
      <w:proofErr w:type="gramStart"/>
      <w:r w:rsidRPr="00543F05"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  <w:t>and</w:t>
      </w:r>
      <w:proofErr w:type="gramEnd"/>
      <w:r w:rsidRPr="00543F05"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  <w:t xml:space="preserve"> we establish a 95% confidence interval by taking the antilog (</w:t>
      </w:r>
      <w:proofErr w:type="spellStart"/>
      <w:r w:rsidRPr="00543F05"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  <w:t>exp</w:t>
      </w:r>
      <w:proofErr w:type="spellEnd"/>
      <w:r w:rsidRPr="00543F05"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  <w:t xml:space="preserve">) of the lower and upper limits by </w:t>
      </w:r>
    </w:p>
    <w:p w:rsidR="00543F05" w:rsidRPr="00543F05" w:rsidRDefault="00543F05" w:rsidP="00543F05">
      <w:pPr>
        <w:widowControl/>
        <w:shd w:val="clear" w:color="auto" w:fill="FFFFFF"/>
        <w:suppressAutoHyphens w:val="0"/>
        <w:spacing w:after="90"/>
        <w:jc w:val="both"/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</w:pPr>
    </w:p>
    <w:p w:rsidR="00543F05" w:rsidRPr="00543F05" w:rsidRDefault="00543F05" w:rsidP="00543F05">
      <w:pPr>
        <w:widowControl/>
        <w:shd w:val="clear" w:color="auto" w:fill="FFFFFF"/>
        <w:suppressAutoHyphens w:val="0"/>
        <w:spacing w:after="90"/>
        <w:jc w:val="both"/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kern w:val="0"/>
              <w:lang w:eastAsia="en-GB" w:bidi="ar-SA"/>
            </w:rPr>
            <m:t>95% CI=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kern w:val="0"/>
              <w:lang w:eastAsia="en-GB" w:bidi="ar-SA"/>
            </w:rPr>
            <m:t>exp</m:t>
          </m:r>
          <m:r>
            <w:rPr>
              <w:rFonts w:ascii="Cambria Math" w:eastAsia="Times New Roman" w:hAnsi="Cambria Math" w:cs="Times New Roman"/>
              <w:color w:val="000000"/>
              <w:kern w:val="0"/>
              <w:lang w:eastAsia="en-GB" w:bidi="ar-SA"/>
            </w:rPr>
            <m:t>(ln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kern w:val="0"/>
                  <w:lang w:eastAsia="en-GB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kern w:val="0"/>
                  <w:lang w:eastAsia="en-GB" w:bidi="ar-SA"/>
                </w:rPr>
                <m:t>RR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kern w:val="0"/>
              <w:lang w:eastAsia="en-GB" w:bidi="ar-SA"/>
            </w:rPr>
            <m:t>-1.96 x SE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color w:val="000000"/>
                  <w:kern w:val="0"/>
                  <w:lang w:eastAsia="en-GB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kern w:val="0"/>
                  <w:lang w:eastAsia="en-GB" w:bidi="ar-SA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kern w:val="0"/>
                      <w:lang w:eastAsia="en-GB" w:bidi="ar-S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0"/>
                      <w:lang w:eastAsia="en-GB" w:bidi="ar-SA"/>
                    </w:rPr>
                    <m:t>RR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000000"/>
              <w:kern w:val="0"/>
              <w:lang w:eastAsia="en-GB" w:bidi="ar-SA"/>
            </w:rPr>
            <m:t xml:space="preserve">  to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kern w:val="0"/>
                  <w:lang w:eastAsia="en-GB" w:bidi="ar-S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kern w:val="0"/>
                  <w:lang w:eastAsia="en-GB" w:bidi="ar-SA"/>
                </w:rPr>
                <m:t>exp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kern w:val="0"/>
                  <w:lang w:eastAsia="en-GB" w:bidi="ar-SA"/>
                </w:rPr>
                <m:t>(ln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kern w:val="0"/>
                      <w:lang w:eastAsia="en-GB" w:bidi="ar-S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0"/>
                      <w:lang w:eastAsia="en-GB" w:bidi="ar-SA"/>
                    </w:rPr>
                    <m:t>RR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kern w:val="0"/>
                  <w:lang w:eastAsia="en-GB" w:bidi="ar-SA"/>
                </w:rPr>
                <m:t>+1.96 x SE{ln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kern w:val="0"/>
                      <w:lang w:eastAsia="en-GB" w:bidi="ar-S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0"/>
                      <w:lang w:eastAsia="en-GB" w:bidi="ar-SA"/>
                    </w:rPr>
                    <m:t>RR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kern w:val="0"/>
                  <w:lang w:eastAsia="en-GB" w:bidi="ar-SA"/>
                </w:rPr>
                <m:t>}</m:t>
              </m:r>
            </m:e>
          </m:func>
        </m:oMath>
      </m:oMathPara>
    </w:p>
    <w:p w:rsidR="003B30F4" w:rsidRDefault="003B30F4">
      <w:pPr>
        <w:rPr>
          <w:rFonts w:hint="eastAsia"/>
        </w:rPr>
      </w:pPr>
      <w:bookmarkStart w:id="0" w:name="_GoBack"/>
      <w:bookmarkEnd w:id="0"/>
    </w:p>
    <w:sectPr w:rsidR="003B30F4" w:rsidSect="00543F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5"/>
    <w:rsid w:val="0001613D"/>
    <w:rsid w:val="00100916"/>
    <w:rsid w:val="001D0704"/>
    <w:rsid w:val="00345917"/>
    <w:rsid w:val="00381037"/>
    <w:rsid w:val="003B30F4"/>
    <w:rsid w:val="003E19DE"/>
    <w:rsid w:val="003F520C"/>
    <w:rsid w:val="005134DC"/>
    <w:rsid w:val="00523A29"/>
    <w:rsid w:val="00543F05"/>
    <w:rsid w:val="006D53A2"/>
    <w:rsid w:val="0087480D"/>
    <w:rsid w:val="008D30A3"/>
    <w:rsid w:val="00962638"/>
    <w:rsid w:val="00A97B8A"/>
    <w:rsid w:val="00B87FD3"/>
    <w:rsid w:val="00D55A0B"/>
    <w:rsid w:val="00DB0B4E"/>
    <w:rsid w:val="00E50355"/>
    <w:rsid w:val="00EE763E"/>
    <w:rsid w:val="00FC1E33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A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D30A3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8D30A3"/>
    <w:rPr>
      <w:b/>
      <w:bCs/>
    </w:rPr>
  </w:style>
  <w:style w:type="paragraph" w:styleId="NoSpacing">
    <w:name w:val="No Spacing"/>
    <w:qFormat/>
    <w:rsid w:val="008D30A3"/>
    <w:pPr>
      <w:suppressAutoHyphens/>
      <w:spacing w:line="100" w:lineRule="atLeast"/>
    </w:pPr>
    <w:rPr>
      <w:rFonts w:ascii="Calibri" w:eastAsia="Calibri" w:hAnsi="Calibri" w:cs="Calibri"/>
      <w:color w:val="00000A"/>
      <w:kern w:val="1"/>
      <w:sz w:val="22"/>
      <w:szCs w:val="22"/>
      <w:lang w:val="en-US" w:eastAsia="zh-CN"/>
    </w:rPr>
  </w:style>
  <w:style w:type="paragraph" w:styleId="ListParagraph">
    <w:name w:val="List Paragraph"/>
    <w:basedOn w:val="Normal"/>
    <w:qFormat/>
    <w:rsid w:val="008D30A3"/>
    <w:pPr>
      <w:ind w:left="720"/>
    </w:pPr>
    <w:rPr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543F0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F0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A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D30A3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8D30A3"/>
    <w:rPr>
      <w:b/>
      <w:bCs/>
    </w:rPr>
  </w:style>
  <w:style w:type="paragraph" w:styleId="NoSpacing">
    <w:name w:val="No Spacing"/>
    <w:qFormat/>
    <w:rsid w:val="008D30A3"/>
    <w:pPr>
      <w:suppressAutoHyphens/>
      <w:spacing w:line="100" w:lineRule="atLeast"/>
    </w:pPr>
    <w:rPr>
      <w:rFonts w:ascii="Calibri" w:eastAsia="Calibri" w:hAnsi="Calibri" w:cs="Calibri"/>
      <w:color w:val="00000A"/>
      <w:kern w:val="1"/>
      <w:sz w:val="22"/>
      <w:szCs w:val="22"/>
      <w:lang w:val="en-US" w:eastAsia="zh-CN"/>
    </w:rPr>
  </w:style>
  <w:style w:type="paragraph" w:styleId="ListParagraph">
    <w:name w:val="List Paragraph"/>
    <w:basedOn w:val="Normal"/>
    <w:qFormat/>
    <w:rsid w:val="008D30A3"/>
    <w:pPr>
      <w:ind w:left="720"/>
    </w:pPr>
    <w:rPr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543F0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F0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2018-05-11T12:20:00Z</dcterms:created>
  <dcterms:modified xsi:type="dcterms:W3CDTF">2018-05-11T12:21:00Z</dcterms:modified>
</cp:coreProperties>
</file>