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FA36" w14:textId="0C156796" w:rsidR="00212254" w:rsidRPr="00D30A42" w:rsidRDefault="00461137" w:rsidP="0021225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snapToGrid w:val="0"/>
          <w:kern w:val="0"/>
          <w:sz w:val="24"/>
          <w:szCs w:val="24"/>
          <w:lang w:val="en-GB"/>
        </w:rPr>
      </w:pPr>
      <w:bookmarkStart w:id="0" w:name="_GoBack"/>
      <w:bookmarkEnd w:id="0"/>
      <w:r w:rsidRPr="00D30A42">
        <w:rPr>
          <w:rFonts w:ascii="Times New Roman" w:hAnsi="Times New Roman"/>
          <w:snapToGrid w:val="0"/>
          <w:kern w:val="0"/>
          <w:sz w:val="24"/>
          <w:lang w:val="en-GB"/>
        </w:rPr>
        <w:t xml:space="preserve">S2 </w:t>
      </w:r>
      <w:r w:rsidR="006923BC" w:rsidRPr="00D30A42">
        <w:rPr>
          <w:rFonts w:ascii="Times New Roman" w:hAnsi="Times New Roman"/>
          <w:snapToGrid w:val="0"/>
          <w:kern w:val="0"/>
          <w:sz w:val="24"/>
          <w:lang w:val="en-GB"/>
        </w:rPr>
        <w:t>Table</w:t>
      </w:r>
      <w:r w:rsidR="00114CA0" w:rsidRPr="00D30A42">
        <w:rPr>
          <w:rFonts w:ascii="Times New Roman" w:hAnsi="Times New Roman"/>
          <w:snapToGrid w:val="0"/>
          <w:kern w:val="0"/>
          <w:sz w:val="24"/>
          <w:lang w:val="en-GB"/>
        </w:rPr>
        <w:t>.</w:t>
      </w:r>
      <w:r w:rsidR="00212254" w:rsidRPr="00D30A42">
        <w:rPr>
          <w:rFonts w:ascii="Times New Roman" w:hAnsi="Times New Roman"/>
          <w:snapToGrid w:val="0"/>
          <w:kern w:val="0"/>
          <w:sz w:val="24"/>
          <w:lang w:val="en-GB"/>
        </w:rPr>
        <w:t xml:space="preserve"> Analyses of </w:t>
      </w:r>
      <w:r w:rsidR="00DD07F7" w:rsidRPr="00D30A42">
        <w:rPr>
          <w:rFonts w:ascii="Times New Roman" w:hAnsi="Times New Roman"/>
          <w:snapToGrid w:val="0"/>
          <w:kern w:val="0"/>
          <w:sz w:val="24"/>
          <w:lang w:val="en-GB"/>
        </w:rPr>
        <w:t>Measure of Adjustment to Cancer (MAC)</w:t>
      </w:r>
      <w:r w:rsidR="00212254" w:rsidRPr="00D30A42">
        <w:rPr>
          <w:rFonts w:ascii="Times New Roman" w:hAnsi="Times New Roman"/>
          <w:snapToGrid w:val="0"/>
          <w:kern w:val="0"/>
          <w:sz w:val="24"/>
          <w:lang w:val="en-GB"/>
        </w:rPr>
        <w:t xml:space="preserve"> </w:t>
      </w:r>
      <w:r w:rsidR="00F40056" w:rsidRPr="00D30A42">
        <w:rPr>
          <w:rFonts w:ascii="Times New Roman" w:hAnsi="Times New Roman"/>
          <w:snapToGrid w:val="0"/>
          <w:kern w:val="0"/>
          <w:sz w:val="24"/>
          <w:lang w:val="en-GB"/>
        </w:rPr>
        <w:t xml:space="preserve">Scales </w:t>
      </w:r>
    </w:p>
    <w:tbl>
      <w:tblPr>
        <w:tblW w:w="126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3"/>
        <w:gridCol w:w="1743"/>
        <w:gridCol w:w="2311"/>
        <w:gridCol w:w="2311"/>
        <w:gridCol w:w="2503"/>
        <w:gridCol w:w="1324"/>
      </w:tblGrid>
      <w:tr w:rsidR="00212254" w:rsidRPr="00D30A42" w14:paraId="53393124" w14:textId="77777777" w:rsidTr="00500C4E">
        <w:trPr>
          <w:trHeight w:val="255"/>
        </w:trPr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C7C4A8" w14:textId="77777777" w:rsidR="00212254" w:rsidRPr="00D30A42" w:rsidRDefault="00212254" w:rsidP="00DF0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snapToGrid w:val="0"/>
                <w:color w:val="000000"/>
                <w:kern w:val="0"/>
                <w:sz w:val="24"/>
                <w:szCs w:val="24"/>
              </w:rPr>
              <w:t>Scale (possible range)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06D02F1C" w14:textId="77777777" w:rsidR="00212254" w:rsidRPr="00D30A42" w:rsidRDefault="00212254" w:rsidP="00DF0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Theme="minorEastAsia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Theme="minorEastAsia" w:hAnsi="Times New Roman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S</w:t>
            </w:r>
            <w:r w:rsidRPr="00D30A42">
              <w:rPr>
                <w:rFonts w:ascii="Times New Roman" w:eastAsiaTheme="minorEastAsia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tatistics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AC02FC" w14:textId="77777777" w:rsidR="00212254" w:rsidRPr="00D30A42" w:rsidRDefault="00212254" w:rsidP="00DF0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AMT (</w:t>
            </w: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 xml:space="preserve">N </w:t>
            </w:r>
            <w:r w:rsidRPr="00D30A42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= 20)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FB7822" w14:textId="77777777" w:rsidR="00212254" w:rsidRPr="00D30A42" w:rsidRDefault="00212254" w:rsidP="00DF0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No-AMT </w:t>
            </w:r>
            <w:r w:rsidRPr="00D30A42">
              <w:rPr>
                <w:rFonts w:ascii="Times New Roman" w:eastAsia="Times New Roman" w:hAnsi="Times New Roman"/>
                <w:b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>(</w:t>
            </w: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>N</w:t>
            </w:r>
            <w:r w:rsidRPr="00D30A42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= 20)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14:paraId="1A3C6A20" w14:textId="508E61F3" w:rsidR="00212254" w:rsidRPr="00D30A42" w:rsidRDefault="00610B9D" w:rsidP="00114C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snapToGrid w:val="0"/>
                <w:color w:val="000000"/>
                <w:kern w:val="0"/>
                <w:sz w:val="24"/>
                <w:szCs w:val="24"/>
              </w:rPr>
              <w:t>Difference (95% CI)</w:t>
            </w:r>
            <w:r w:rsidRPr="00D30A42">
              <w:rPr>
                <w:rFonts w:ascii="Times New Roman" w:eastAsia="Times New Roman" w:hAnsi="Times New Roman"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C002D4" w14:textId="7FD59E52" w:rsidR="00212254" w:rsidRPr="00D30A42" w:rsidRDefault="00212254" w:rsidP="00114C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>P</w:t>
            </w:r>
            <w:r w:rsidRPr="00D30A42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-value</w:t>
            </w:r>
            <w:r w:rsidRPr="00D30A42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212254" w:rsidRPr="00D30A42" w14:paraId="4912C5C5" w14:textId="77777777" w:rsidTr="00500C4E">
        <w:trPr>
          <w:trHeight w:val="255"/>
        </w:trPr>
        <w:tc>
          <w:tcPr>
            <w:tcW w:w="12645" w:type="dxa"/>
            <w:gridSpan w:val="6"/>
            <w:tcBorders>
              <w:top w:val="single" w:sz="4" w:space="0" w:color="auto"/>
            </w:tcBorders>
          </w:tcPr>
          <w:p w14:paraId="541F1FC6" w14:textId="77777777" w:rsidR="00212254" w:rsidRPr="00D30A42" w:rsidRDefault="00DD07F7" w:rsidP="00DF0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b/>
                <w:i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>Fighting spirit</w:t>
            </w:r>
            <w:r w:rsidRPr="00D30A42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>(16</w:t>
            </w:r>
            <w:r w:rsidRPr="00D30A42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–64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D07F7" w:rsidRPr="00D30A42" w14:paraId="63699336" w14:textId="77777777" w:rsidTr="00500C4E">
        <w:trPr>
          <w:trHeight w:val="255"/>
        </w:trPr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03A0469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Baseline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14:paraId="7CC814EB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22D7876A" w14:textId="77777777" w:rsidR="00DD07F7" w:rsidRPr="00D30A42" w:rsidRDefault="00DD07F7" w:rsidP="00DD07F7">
            <w:pPr>
              <w:widowControl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49 (42 to 54)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4172B3B7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48 (45 to 53)</w:t>
            </w:r>
          </w:p>
        </w:tc>
        <w:tc>
          <w:tcPr>
            <w:tcW w:w="2503" w:type="dxa"/>
            <w:tcBorders>
              <w:bottom w:val="nil"/>
            </w:tcBorders>
          </w:tcPr>
          <w:p w14:paraId="686554E3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</w:tcPr>
          <w:p w14:paraId="12766767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9D" w:rsidRPr="00D30A42" w14:paraId="315318E2" w14:textId="77777777" w:rsidTr="00500C4E">
        <w:trPr>
          <w:trHeight w:val="255"/>
        </w:trPr>
        <w:tc>
          <w:tcPr>
            <w:tcW w:w="24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86F52A" w14:textId="77777777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8-week follow-up</w:t>
            </w: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14:paraId="58782B1E" w14:textId="77777777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1AF618" w14:textId="77777777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52 (44 to 56)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5FA22D" w14:textId="77777777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47 (42 to 53)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5DDD7FAC" w14:textId="058757E0" w:rsidR="00610B9D" w:rsidRPr="00D30A42" w:rsidRDefault="00855F1F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3.0 (0.0 to 7.0)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77D5D5" w14:textId="5D56B925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0.054</w:t>
            </w:r>
          </w:p>
        </w:tc>
      </w:tr>
      <w:tr w:rsidR="00DD07F7" w:rsidRPr="00D30A42" w14:paraId="68465B3B" w14:textId="77777777" w:rsidTr="00500C4E">
        <w:trPr>
          <w:trHeight w:val="255"/>
        </w:trPr>
        <w:tc>
          <w:tcPr>
            <w:tcW w:w="12645" w:type="dxa"/>
            <w:gridSpan w:val="6"/>
            <w:vAlign w:val="center"/>
          </w:tcPr>
          <w:p w14:paraId="3C782593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>Helplessness/hopelessness</w:t>
            </w:r>
            <w:r w:rsidRPr="00D30A42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>(6</w:t>
            </w:r>
            <w:r w:rsidRPr="00D30A42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–24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D07F7" w:rsidRPr="00D30A42" w14:paraId="5E0FF4A2" w14:textId="77777777" w:rsidTr="00500C4E">
        <w:trPr>
          <w:trHeight w:val="255"/>
        </w:trPr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26D6AC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Baseline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14:paraId="6306886E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0CACDF39" w14:textId="77777777" w:rsidR="00DD07F7" w:rsidRPr="00D30A42" w:rsidRDefault="00DD07F7" w:rsidP="00DD07F7">
            <w:pPr>
              <w:widowControl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8 (7 to 10)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5EFC3977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9 (7 to 10)</w:t>
            </w:r>
          </w:p>
        </w:tc>
        <w:tc>
          <w:tcPr>
            <w:tcW w:w="2503" w:type="dxa"/>
            <w:tcBorders>
              <w:bottom w:val="nil"/>
            </w:tcBorders>
          </w:tcPr>
          <w:p w14:paraId="0D356712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</w:tcPr>
          <w:p w14:paraId="54BFD309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9D" w:rsidRPr="00D30A42" w14:paraId="5E18FD3E" w14:textId="77777777" w:rsidTr="00500C4E">
        <w:trPr>
          <w:trHeight w:val="255"/>
        </w:trPr>
        <w:tc>
          <w:tcPr>
            <w:tcW w:w="245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3C5477" w14:textId="77777777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8-week follow-up</w:t>
            </w:r>
          </w:p>
        </w:tc>
        <w:tc>
          <w:tcPr>
            <w:tcW w:w="1743" w:type="dxa"/>
            <w:tcBorders>
              <w:top w:val="nil"/>
            </w:tcBorders>
            <w:vAlign w:val="center"/>
          </w:tcPr>
          <w:p w14:paraId="4B8134A5" w14:textId="77777777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  <w:noWrap/>
          </w:tcPr>
          <w:p w14:paraId="36CD687F" w14:textId="77777777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8 (6 to 9)</w:t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  <w:noWrap/>
          </w:tcPr>
          <w:p w14:paraId="012E9FB7" w14:textId="77777777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7 (6 to 9)</w:t>
            </w:r>
          </w:p>
        </w:tc>
        <w:tc>
          <w:tcPr>
            <w:tcW w:w="2503" w:type="dxa"/>
            <w:tcBorders>
              <w:top w:val="nil"/>
            </w:tcBorders>
          </w:tcPr>
          <w:p w14:paraId="74B1DF35" w14:textId="045BAC26" w:rsidR="00610B9D" w:rsidRPr="00D30A42" w:rsidRDefault="00855F1F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0.0 (-1.0 to 1.0)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noWrap/>
          </w:tcPr>
          <w:p w14:paraId="66CCE924" w14:textId="02368120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0.769</w:t>
            </w:r>
          </w:p>
        </w:tc>
      </w:tr>
      <w:tr w:rsidR="00DD07F7" w:rsidRPr="00D30A42" w14:paraId="493ADF6A" w14:textId="77777777" w:rsidTr="00500C4E">
        <w:trPr>
          <w:trHeight w:val="255"/>
        </w:trPr>
        <w:tc>
          <w:tcPr>
            <w:tcW w:w="12645" w:type="dxa"/>
            <w:gridSpan w:val="6"/>
          </w:tcPr>
          <w:p w14:paraId="40C10DCA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b/>
                <w:i/>
                <w:i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>Anxious</w:t>
            </w:r>
            <w:r w:rsidRPr="00D30A42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>preoccupation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 xml:space="preserve"> (9</w:t>
            </w:r>
            <w:r w:rsidRPr="00D30A42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–36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D07F7" w:rsidRPr="00D30A42" w14:paraId="6E7F3111" w14:textId="77777777" w:rsidTr="00500C4E">
        <w:trPr>
          <w:trHeight w:val="255"/>
        </w:trPr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99C7F6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Baseline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14:paraId="10991C22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5CD91041" w14:textId="77777777" w:rsidR="00DD07F7" w:rsidRPr="00D30A42" w:rsidRDefault="00DD07F7" w:rsidP="00DD07F7">
            <w:pPr>
              <w:widowControl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19 (17 to 22)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0E516788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18 (15 to 23)</w:t>
            </w:r>
          </w:p>
        </w:tc>
        <w:tc>
          <w:tcPr>
            <w:tcW w:w="2503" w:type="dxa"/>
            <w:tcBorders>
              <w:bottom w:val="nil"/>
            </w:tcBorders>
          </w:tcPr>
          <w:p w14:paraId="63FD7EAE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</w:tcPr>
          <w:p w14:paraId="0EF1D4D9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9D" w:rsidRPr="00D30A42" w14:paraId="39523D2E" w14:textId="77777777" w:rsidTr="00500C4E">
        <w:trPr>
          <w:trHeight w:val="255"/>
        </w:trPr>
        <w:tc>
          <w:tcPr>
            <w:tcW w:w="245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3C632D" w14:textId="77777777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8-week follow-up</w:t>
            </w:r>
          </w:p>
        </w:tc>
        <w:tc>
          <w:tcPr>
            <w:tcW w:w="1743" w:type="dxa"/>
            <w:tcBorders>
              <w:top w:val="nil"/>
            </w:tcBorders>
            <w:vAlign w:val="center"/>
          </w:tcPr>
          <w:p w14:paraId="25B565C1" w14:textId="77777777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  <w:noWrap/>
          </w:tcPr>
          <w:p w14:paraId="3B0D5DA1" w14:textId="77777777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19 (17 to 21)</w:t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  <w:noWrap/>
          </w:tcPr>
          <w:p w14:paraId="0ACDAC07" w14:textId="77777777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17 (15 to 20)</w:t>
            </w:r>
          </w:p>
        </w:tc>
        <w:tc>
          <w:tcPr>
            <w:tcW w:w="2503" w:type="dxa"/>
            <w:tcBorders>
              <w:top w:val="nil"/>
            </w:tcBorders>
          </w:tcPr>
          <w:p w14:paraId="0F4D4769" w14:textId="2F6310DF" w:rsidR="00610B9D" w:rsidRPr="00D30A42" w:rsidRDefault="00855F1F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0.0 (-2.0 to 2.0)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noWrap/>
          </w:tcPr>
          <w:p w14:paraId="22B949D5" w14:textId="1DD7A09E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0.740</w:t>
            </w:r>
          </w:p>
        </w:tc>
      </w:tr>
      <w:tr w:rsidR="00DD07F7" w:rsidRPr="00D30A42" w14:paraId="7A60D74C" w14:textId="77777777" w:rsidTr="00500C4E">
        <w:trPr>
          <w:trHeight w:val="255"/>
        </w:trPr>
        <w:tc>
          <w:tcPr>
            <w:tcW w:w="12645" w:type="dxa"/>
            <w:gridSpan w:val="6"/>
          </w:tcPr>
          <w:p w14:paraId="6FBE80D1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b/>
                <w:i/>
                <w:i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>Fatalism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 xml:space="preserve"> (8</w:t>
            </w:r>
            <w:r w:rsidRPr="00D30A42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–32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D07F7" w:rsidRPr="00D30A42" w14:paraId="3D717EA8" w14:textId="77777777" w:rsidTr="00500C4E">
        <w:trPr>
          <w:trHeight w:val="255"/>
        </w:trPr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307BD0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Baseline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14:paraId="0F0AC87C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2BBA0282" w14:textId="77777777" w:rsidR="00DD07F7" w:rsidRPr="00D30A42" w:rsidRDefault="00DD07F7" w:rsidP="00DD07F7">
            <w:pPr>
              <w:widowControl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18 (15 to 20)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19FEF751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20 (17 to 23)</w:t>
            </w:r>
          </w:p>
        </w:tc>
        <w:tc>
          <w:tcPr>
            <w:tcW w:w="2503" w:type="dxa"/>
            <w:tcBorders>
              <w:bottom w:val="nil"/>
            </w:tcBorders>
          </w:tcPr>
          <w:p w14:paraId="656299D8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</w:tcPr>
          <w:p w14:paraId="12B4CEE2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9D" w:rsidRPr="00D30A42" w14:paraId="13CF98D4" w14:textId="77777777" w:rsidTr="00500C4E">
        <w:trPr>
          <w:trHeight w:val="255"/>
        </w:trPr>
        <w:tc>
          <w:tcPr>
            <w:tcW w:w="245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1B37E63" w14:textId="77777777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8-week follow-up</w:t>
            </w:r>
          </w:p>
        </w:tc>
        <w:tc>
          <w:tcPr>
            <w:tcW w:w="1743" w:type="dxa"/>
            <w:tcBorders>
              <w:top w:val="nil"/>
            </w:tcBorders>
            <w:vAlign w:val="center"/>
          </w:tcPr>
          <w:p w14:paraId="5E044895" w14:textId="77777777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  <w:noWrap/>
          </w:tcPr>
          <w:p w14:paraId="65616F8E" w14:textId="77777777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17 (14 to 21)</w:t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  <w:noWrap/>
          </w:tcPr>
          <w:p w14:paraId="66019790" w14:textId="77777777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18 (17 to 21)</w:t>
            </w:r>
          </w:p>
        </w:tc>
        <w:tc>
          <w:tcPr>
            <w:tcW w:w="2503" w:type="dxa"/>
            <w:tcBorders>
              <w:top w:val="nil"/>
            </w:tcBorders>
          </w:tcPr>
          <w:p w14:paraId="66206E9D" w14:textId="78B06270" w:rsidR="00610B9D" w:rsidRPr="00D30A42" w:rsidRDefault="00855F1F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1.0 (-1.0 to 3.0)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noWrap/>
          </w:tcPr>
          <w:p w14:paraId="05406E2E" w14:textId="56CFCA8E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0.367</w:t>
            </w:r>
          </w:p>
        </w:tc>
      </w:tr>
      <w:tr w:rsidR="00DD07F7" w:rsidRPr="00D30A42" w14:paraId="6ADEADB2" w14:textId="77777777" w:rsidTr="00500C4E">
        <w:trPr>
          <w:trHeight w:val="255"/>
        </w:trPr>
        <w:tc>
          <w:tcPr>
            <w:tcW w:w="12645" w:type="dxa"/>
            <w:gridSpan w:val="6"/>
          </w:tcPr>
          <w:p w14:paraId="45C327E7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b/>
                <w:i/>
                <w:iCs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color w:val="000000"/>
                <w:kern w:val="0"/>
                <w:sz w:val="24"/>
                <w:szCs w:val="24"/>
              </w:rPr>
              <w:t>Avoidance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 xml:space="preserve"> (1</w:t>
            </w:r>
            <w:r w:rsidRPr="00D30A42"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  <w:t>–4</w:t>
            </w:r>
            <w:r w:rsidRPr="00D30A42">
              <w:rPr>
                <w:rFonts w:ascii="Times New Roman" w:hAnsi="Times New Roman"/>
                <w:bCs/>
                <w:iCs/>
                <w:snapToGrid w:val="0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D07F7" w:rsidRPr="00D30A42" w14:paraId="778BAF3E" w14:textId="77777777" w:rsidTr="00500C4E">
        <w:trPr>
          <w:trHeight w:val="255"/>
        </w:trPr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A6B43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lastRenderedPageBreak/>
              <w:t xml:space="preserve">  Baseline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14:paraId="39B1F53B" w14:textId="77777777" w:rsidR="00DD07F7" w:rsidRPr="00D30A42" w:rsidRDefault="00DD07F7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7B19B711" w14:textId="77777777" w:rsidR="00DD07F7" w:rsidRPr="00D30A42" w:rsidRDefault="004247F4" w:rsidP="00DD07F7">
            <w:pPr>
              <w:widowControl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D07F7" w:rsidRPr="00D30A42">
              <w:rPr>
                <w:rFonts w:ascii="Times New Roman" w:hAnsi="Times New Roman"/>
                <w:sz w:val="24"/>
                <w:szCs w:val="24"/>
              </w:rPr>
              <w:t>(1 to 2)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  <w:noWrap/>
          </w:tcPr>
          <w:p w14:paraId="2490F0D4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2 (2 to 3)</w:t>
            </w:r>
          </w:p>
        </w:tc>
        <w:tc>
          <w:tcPr>
            <w:tcW w:w="2503" w:type="dxa"/>
            <w:tcBorders>
              <w:bottom w:val="nil"/>
            </w:tcBorders>
          </w:tcPr>
          <w:p w14:paraId="6773ACFC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noWrap/>
          </w:tcPr>
          <w:p w14:paraId="5BC033AF" w14:textId="77777777" w:rsidR="00DD07F7" w:rsidRPr="00D30A42" w:rsidRDefault="00DD07F7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9D" w:rsidRPr="00D30A42" w14:paraId="3794D9C2" w14:textId="77777777" w:rsidTr="00500C4E">
        <w:trPr>
          <w:trHeight w:val="270"/>
        </w:trPr>
        <w:tc>
          <w:tcPr>
            <w:tcW w:w="24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D199" w14:textId="6D21F0BB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 xml:space="preserve">  8-week follow-up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center"/>
          </w:tcPr>
          <w:p w14:paraId="4CDDB552" w14:textId="5BDB43AB" w:rsidR="00610B9D" w:rsidRPr="00D30A42" w:rsidRDefault="00610B9D" w:rsidP="00DD0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30A42">
              <w:rPr>
                <w:rFonts w:ascii="Times New Roman" w:eastAsia="MS PGothic" w:hAnsi="Times New Roman"/>
                <w:snapToGrid w:val="0"/>
                <w:color w:val="000000"/>
                <w:kern w:val="0"/>
                <w:sz w:val="24"/>
                <w:szCs w:val="24"/>
              </w:rPr>
              <w:t>Median (IQR)</w:t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081E35A" w14:textId="2F46AAEC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1 (1 to 3)</w:t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1FBE85C" w14:textId="4210C21F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2 (1 to 3)</w:t>
            </w:r>
          </w:p>
        </w:tc>
        <w:tc>
          <w:tcPr>
            <w:tcW w:w="2503" w:type="dxa"/>
            <w:tcBorders>
              <w:top w:val="nil"/>
              <w:bottom w:val="single" w:sz="4" w:space="0" w:color="auto"/>
            </w:tcBorders>
          </w:tcPr>
          <w:p w14:paraId="780DE437" w14:textId="0F25038D" w:rsidR="00610B9D" w:rsidRPr="00D30A42" w:rsidRDefault="00855F1F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0.0 (-1.0 to 1.0)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7F9072B" w14:textId="0394640C" w:rsidR="00610B9D" w:rsidRPr="00D30A42" w:rsidRDefault="00610B9D" w:rsidP="00DD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42">
              <w:rPr>
                <w:rFonts w:ascii="Times New Roman" w:hAnsi="Times New Roman"/>
                <w:sz w:val="24"/>
                <w:szCs w:val="24"/>
              </w:rPr>
              <w:t>0.632</w:t>
            </w:r>
          </w:p>
        </w:tc>
      </w:tr>
    </w:tbl>
    <w:p w14:paraId="6472B8D9" w14:textId="697DBB45" w:rsidR="00212254" w:rsidRPr="00D30A42" w:rsidRDefault="00212254" w:rsidP="00E27A7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MS PGothic" w:hAnsi="Times New Roman"/>
          <w:snapToGrid w:val="0"/>
          <w:color w:val="000000"/>
          <w:kern w:val="0"/>
          <w:sz w:val="24"/>
          <w:szCs w:val="24"/>
          <w:lang w:val="en-GB"/>
        </w:rPr>
      </w:pPr>
      <w:r w:rsidRPr="00D30A42">
        <w:rPr>
          <w:rFonts w:ascii="Times New Roman" w:eastAsia="MS PGothic" w:hAnsi="Times New Roman"/>
          <w:snapToGrid w:val="0"/>
          <w:color w:val="000000"/>
          <w:kern w:val="0"/>
          <w:sz w:val="24"/>
          <w:szCs w:val="24"/>
        </w:rPr>
        <w:t>AMT</w:t>
      </w:r>
      <w:r w:rsidR="00114CA0" w:rsidRPr="00D30A42">
        <w:rPr>
          <w:rFonts w:ascii="Times New Roman" w:eastAsia="MS PGothic" w:hAnsi="Times New Roman"/>
          <w:snapToGrid w:val="0"/>
          <w:color w:val="000000"/>
          <w:kern w:val="0"/>
          <w:sz w:val="24"/>
          <w:szCs w:val="24"/>
        </w:rPr>
        <w:t xml:space="preserve"> = </w:t>
      </w:r>
      <w:r w:rsidRPr="00D30A42">
        <w:rPr>
          <w:rFonts w:ascii="Times New Roman" w:hAnsi="Times New Roman"/>
          <w:i/>
          <w:snapToGrid w:val="0"/>
          <w:kern w:val="0"/>
          <w:sz w:val="24"/>
          <w:szCs w:val="24"/>
        </w:rPr>
        <w:t>Anma</w:t>
      </w:r>
      <w:r w:rsidRPr="00D30A42">
        <w:rPr>
          <w:rFonts w:ascii="Times New Roman" w:hAnsi="Times New Roman"/>
          <w:snapToGrid w:val="0"/>
          <w:kern w:val="0"/>
          <w:sz w:val="24"/>
          <w:szCs w:val="24"/>
        </w:rPr>
        <w:t xml:space="preserve"> therapy; </w:t>
      </w:r>
      <w:r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>CI</w:t>
      </w:r>
      <w:r w:rsidR="00114CA0"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 xml:space="preserve"> = </w:t>
      </w:r>
      <w:r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>confidence interval; IQR</w:t>
      </w:r>
      <w:r w:rsidR="00114CA0"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 xml:space="preserve"> = </w:t>
      </w:r>
      <w:r w:rsidRPr="00D30A42">
        <w:rPr>
          <w:rFonts w:ascii="Times New Roman" w:eastAsia="MS PGothic" w:hAnsi="Times New Roman"/>
          <w:snapToGrid w:val="0"/>
          <w:color w:val="000000"/>
          <w:kern w:val="0"/>
          <w:sz w:val="24"/>
          <w:szCs w:val="24"/>
        </w:rPr>
        <w:t>interqua</w:t>
      </w:r>
      <w:r w:rsidR="00114CA0" w:rsidRPr="00D30A42">
        <w:rPr>
          <w:rFonts w:ascii="Times New Roman" w:eastAsia="MS PGothic" w:hAnsi="Times New Roman"/>
          <w:snapToGrid w:val="0"/>
          <w:color w:val="000000"/>
          <w:kern w:val="0"/>
          <w:sz w:val="24"/>
          <w:szCs w:val="24"/>
        </w:rPr>
        <w:t>r</w:t>
      </w:r>
      <w:r w:rsidRPr="00D30A42">
        <w:rPr>
          <w:rFonts w:ascii="Times New Roman" w:eastAsia="MS PGothic" w:hAnsi="Times New Roman"/>
          <w:snapToGrid w:val="0"/>
          <w:color w:val="000000"/>
          <w:kern w:val="0"/>
          <w:sz w:val="24"/>
          <w:szCs w:val="24"/>
        </w:rPr>
        <w:t>tile range.</w:t>
      </w:r>
    </w:p>
    <w:p w14:paraId="2F990ABE" w14:textId="77777777" w:rsidR="00610B9D" w:rsidRPr="00D30A42" w:rsidRDefault="00610B9D" w:rsidP="00610B9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snapToGrid w:val="0"/>
          <w:kern w:val="0"/>
          <w:sz w:val="24"/>
          <w:szCs w:val="24"/>
        </w:rPr>
      </w:pPr>
      <w:r w:rsidRPr="00D30A42">
        <w:rPr>
          <w:rFonts w:ascii="Times New Roman" w:hAnsi="Times New Roman"/>
          <w:snapToGrid w:val="0"/>
          <w:kern w:val="0"/>
          <w:sz w:val="24"/>
          <w:szCs w:val="24"/>
          <w:vertAlign w:val="superscript"/>
        </w:rPr>
        <w:t>a</w:t>
      </w:r>
      <w:r w:rsidRPr="00D30A42">
        <w:rPr>
          <w:rFonts w:ascii="Times New Roman" w:hAnsi="Times New Roman"/>
          <w:snapToGrid w:val="0"/>
          <w:kern w:val="0"/>
          <w:sz w:val="24"/>
          <w:szCs w:val="24"/>
        </w:rPr>
        <w:t>Median differences between groups and their exact Hodges-Lehmann 95% confidence intervals of 8-week QOL differences from baselines were calculated.</w:t>
      </w:r>
    </w:p>
    <w:p w14:paraId="100164D4" w14:textId="1549601E" w:rsidR="00212254" w:rsidRPr="00D30A42" w:rsidRDefault="00212254" w:rsidP="00E27A7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snapToGrid w:val="0"/>
          <w:kern w:val="0"/>
          <w:sz w:val="24"/>
          <w:szCs w:val="24"/>
          <w:lang w:val="en-GB"/>
        </w:rPr>
      </w:pPr>
      <w:r w:rsidRPr="00D30A42">
        <w:rPr>
          <w:rFonts w:ascii="Times New Roman" w:hAnsi="Times New Roman"/>
          <w:snapToGrid w:val="0"/>
          <w:kern w:val="0"/>
          <w:sz w:val="24"/>
          <w:szCs w:val="24"/>
          <w:vertAlign w:val="superscript"/>
          <w:lang w:val="en-GB"/>
        </w:rPr>
        <w:t>b</w:t>
      </w:r>
      <w:r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 xml:space="preserve">Exact </w:t>
      </w:r>
      <w:r w:rsidRPr="00D30A42">
        <w:rPr>
          <w:rFonts w:ascii="Times New Roman" w:hAnsi="Times New Roman"/>
          <w:i/>
          <w:kern w:val="0"/>
          <w:sz w:val="24"/>
          <w:lang w:val="en-GB"/>
        </w:rPr>
        <w:t>P</w:t>
      </w:r>
      <w:r w:rsidR="00114CA0"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>-</w:t>
      </w:r>
      <w:r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 xml:space="preserve">values were calculated </w:t>
      </w:r>
      <w:r w:rsidR="00114CA0"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 xml:space="preserve">by </w:t>
      </w:r>
      <w:r w:rsidRPr="00D30A42">
        <w:rPr>
          <w:rFonts w:ascii="Times New Roman" w:hAnsi="Times New Roman"/>
          <w:snapToGrid w:val="0"/>
          <w:kern w:val="0"/>
          <w:sz w:val="24"/>
          <w:szCs w:val="24"/>
          <w:lang w:val="en-GB"/>
        </w:rPr>
        <w:t>Mann-Whitney U test.</w:t>
      </w:r>
    </w:p>
    <w:p w14:paraId="2085E346" w14:textId="77777777" w:rsidR="00212254" w:rsidRPr="00610B9D" w:rsidRDefault="00212254" w:rsidP="0021225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snapToGrid w:val="0"/>
          <w:kern w:val="0"/>
          <w:sz w:val="24"/>
          <w:szCs w:val="24"/>
        </w:rPr>
      </w:pPr>
    </w:p>
    <w:sectPr w:rsidR="00212254" w:rsidRPr="00610B9D" w:rsidSect="0093433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77A2" w14:textId="77777777" w:rsidR="00BF2E4F" w:rsidRDefault="00BF2E4F" w:rsidP="004247F4">
      <w:r>
        <w:separator/>
      </w:r>
    </w:p>
  </w:endnote>
  <w:endnote w:type="continuationSeparator" w:id="0">
    <w:p w14:paraId="5C262090" w14:textId="77777777" w:rsidR="00BF2E4F" w:rsidRDefault="00BF2E4F" w:rsidP="004247F4">
      <w:r>
        <w:continuationSeparator/>
      </w:r>
    </w:p>
  </w:endnote>
  <w:endnote w:type="continuationNotice" w:id="1">
    <w:p w14:paraId="72F35A47" w14:textId="77777777" w:rsidR="00BF2E4F" w:rsidRDefault="00BF2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3F98" w14:textId="77777777" w:rsidR="00BF2E4F" w:rsidRDefault="00BF2E4F" w:rsidP="004247F4">
      <w:r>
        <w:separator/>
      </w:r>
    </w:p>
  </w:footnote>
  <w:footnote w:type="continuationSeparator" w:id="0">
    <w:p w14:paraId="39FC942E" w14:textId="77777777" w:rsidR="00BF2E4F" w:rsidRDefault="00BF2E4F" w:rsidP="004247F4">
      <w:r>
        <w:continuationSeparator/>
      </w:r>
    </w:p>
  </w:footnote>
  <w:footnote w:type="continuationNotice" w:id="1">
    <w:p w14:paraId="4B9A9275" w14:textId="77777777" w:rsidR="00BF2E4F" w:rsidRDefault="00BF2E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9B"/>
    <w:rsid w:val="00000870"/>
    <w:rsid w:val="000978A3"/>
    <w:rsid w:val="000B226C"/>
    <w:rsid w:val="000F0CB4"/>
    <w:rsid w:val="000F6ED1"/>
    <w:rsid w:val="00111263"/>
    <w:rsid w:val="00114CA0"/>
    <w:rsid w:val="001241A6"/>
    <w:rsid w:val="00124883"/>
    <w:rsid w:val="00172641"/>
    <w:rsid w:val="001E2F6F"/>
    <w:rsid w:val="00201E78"/>
    <w:rsid w:val="00205A57"/>
    <w:rsid w:val="00212254"/>
    <w:rsid w:val="00234632"/>
    <w:rsid w:val="002419B5"/>
    <w:rsid w:val="002B1BCE"/>
    <w:rsid w:val="002C56DE"/>
    <w:rsid w:val="003350F8"/>
    <w:rsid w:val="00343951"/>
    <w:rsid w:val="00372C92"/>
    <w:rsid w:val="00382E7B"/>
    <w:rsid w:val="003B16D5"/>
    <w:rsid w:val="003D0C3B"/>
    <w:rsid w:val="004159C3"/>
    <w:rsid w:val="004247F4"/>
    <w:rsid w:val="004518EB"/>
    <w:rsid w:val="00461137"/>
    <w:rsid w:val="004A3141"/>
    <w:rsid w:val="004A5974"/>
    <w:rsid w:val="00500B9B"/>
    <w:rsid w:val="00500C4E"/>
    <w:rsid w:val="00532FDC"/>
    <w:rsid w:val="005418EA"/>
    <w:rsid w:val="00573370"/>
    <w:rsid w:val="005B2C15"/>
    <w:rsid w:val="005C04BD"/>
    <w:rsid w:val="005C2B22"/>
    <w:rsid w:val="005F09E8"/>
    <w:rsid w:val="00610B9D"/>
    <w:rsid w:val="00670942"/>
    <w:rsid w:val="006923BC"/>
    <w:rsid w:val="006C3647"/>
    <w:rsid w:val="006C37DF"/>
    <w:rsid w:val="006D3C67"/>
    <w:rsid w:val="00701C92"/>
    <w:rsid w:val="007534B1"/>
    <w:rsid w:val="00795D23"/>
    <w:rsid w:val="007C0DE3"/>
    <w:rsid w:val="007D2233"/>
    <w:rsid w:val="007D32A4"/>
    <w:rsid w:val="007E30BC"/>
    <w:rsid w:val="008308F8"/>
    <w:rsid w:val="0085070B"/>
    <w:rsid w:val="00855F1F"/>
    <w:rsid w:val="00891EDD"/>
    <w:rsid w:val="009201C7"/>
    <w:rsid w:val="00934332"/>
    <w:rsid w:val="009806C2"/>
    <w:rsid w:val="00991E15"/>
    <w:rsid w:val="009C0299"/>
    <w:rsid w:val="009F3528"/>
    <w:rsid w:val="00A127E0"/>
    <w:rsid w:val="00A3369F"/>
    <w:rsid w:val="00A75AC8"/>
    <w:rsid w:val="00A94D41"/>
    <w:rsid w:val="00AC563B"/>
    <w:rsid w:val="00B263B9"/>
    <w:rsid w:val="00B47BE5"/>
    <w:rsid w:val="00B83D1C"/>
    <w:rsid w:val="00B90E25"/>
    <w:rsid w:val="00BF2E4F"/>
    <w:rsid w:val="00C6628B"/>
    <w:rsid w:val="00CA1BCC"/>
    <w:rsid w:val="00CD3D56"/>
    <w:rsid w:val="00CF42D1"/>
    <w:rsid w:val="00CF4E36"/>
    <w:rsid w:val="00D30A42"/>
    <w:rsid w:val="00DD07F7"/>
    <w:rsid w:val="00DE5604"/>
    <w:rsid w:val="00DF09A2"/>
    <w:rsid w:val="00E27A73"/>
    <w:rsid w:val="00E52C31"/>
    <w:rsid w:val="00E53AB5"/>
    <w:rsid w:val="00EB21E5"/>
    <w:rsid w:val="00F04E3F"/>
    <w:rsid w:val="00F40056"/>
    <w:rsid w:val="00F67C11"/>
    <w:rsid w:val="00F97F9D"/>
    <w:rsid w:val="00FC5263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616E6"/>
  <w15:docId w15:val="{00720A1C-1015-4116-8737-2A6A0E3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B9B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E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7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47F4"/>
    <w:rPr>
      <w:rFonts w:ascii="Century" w:eastAsia="MS Mincho" w:hAnsi="Century" w:cs="Times New Roman"/>
    </w:rPr>
  </w:style>
  <w:style w:type="paragraph" w:styleId="Footer">
    <w:name w:val="footer"/>
    <w:basedOn w:val="Normal"/>
    <w:link w:val="FooterChar"/>
    <w:uiPriority w:val="99"/>
    <w:unhideWhenUsed/>
    <w:rsid w:val="004247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47F4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Zepernick</dc:creator>
  <cp:keywords/>
  <dc:description/>
  <cp:lastModifiedBy>John Zepernick</cp:lastModifiedBy>
  <cp:revision>2</cp:revision>
  <dcterms:created xsi:type="dcterms:W3CDTF">2018-04-20T09:29:00Z</dcterms:created>
  <dcterms:modified xsi:type="dcterms:W3CDTF">2018-04-20T09:29:00Z</dcterms:modified>
  <cp:category/>
  <cp:contentStatus/>
  <dc:language/>
  <cp:version/>
</cp:coreProperties>
</file>