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FAB9F" w14:textId="57BC6DFC" w:rsidR="002A2461" w:rsidRPr="00B1309C" w:rsidRDefault="00740B2C" w:rsidP="000A5130">
      <w:pPr>
        <w:rPr>
          <w:rFonts w:ascii="Times New Roman" w:hAnsi="Times New Roman"/>
          <w:b/>
        </w:rPr>
      </w:pPr>
      <w:r>
        <w:rPr>
          <w:rFonts w:ascii="Times New Roman" w:hAnsi="Times New Roman"/>
          <w:b/>
        </w:rPr>
        <w:t>Supplementary appendix</w:t>
      </w:r>
    </w:p>
    <w:p w14:paraId="5E57C9E7" w14:textId="77777777" w:rsidR="002A2461" w:rsidRPr="00B46437" w:rsidRDefault="002A2461" w:rsidP="000A5130">
      <w:pPr>
        <w:rPr>
          <w:rFonts w:ascii="Times New Roman" w:hAnsi="Times New Roman"/>
          <w:b/>
          <w:sz w:val="28"/>
        </w:rPr>
      </w:pPr>
    </w:p>
    <w:p w14:paraId="68E98645" w14:textId="77777777" w:rsidR="002A2461" w:rsidRPr="00B1309C" w:rsidRDefault="002A2461" w:rsidP="000A5130">
      <w:pPr>
        <w:rPr>
          <w:rFonts w:ascii="Times New Roman" w:hAnsi="Times New Roman"/>
          <w:b/>
          <w:sz w:val="20"/>
          <w:szCs w:val="20"/>
        </w:rPr>
      </w:pPr>
      <w:r w:rsidRPr="00B1309C">
        <w:rPr>
          <w:rFonts w:ascii="Times New Roman" w:hAnsi="Times New Roman"/>
          <w:sz w:val="20"/>
          <w:szCs w:val="20"/>
        </w:rPr>
        <w:t>Cost and economic burden of illness over 15 years in Nepal: a comparative analysis</w:t>
      </w:r>
    </w:p>
    <w:p w14:paraId="61D0FFB9" w14:textId="77777777" w:rsidR="002A2461" w:rsidRPr="00B1309C" w:rsidRDefault="002A2461" w:rsidP="000A5130">
      <w:pPr>
        <w:rPr>
          <w:rFonts w:ascii="Times New Roman" w:hAnsi="Times New Roman"/>
          <w:b/>
          <w:sz w:val="20"/>
          <w:szCs w:val="20"/>
        </w:rPr>
      </w:pPr>
    </w:p>
    <w:p w14:paraId="6CB8DDE8" w14:textId="61305059" w:rsidR="00FD2290" w:rsidRPr="00D252A2" w:rsidRDefault="00FD2290" w:rsidP="00FD2290">
      <w:pPr>
        <w:pStyle w:val="NormalWeb"/>
      </w:pPr>
      <w:r w:rsidRPr="00484CFB">
        <w:rPr>
          <w:rFonts w:ascii="Times New Roman" w:hAnsi="Times New Roman"/>
        </w:rPr>
        <w:t>Khin Thet Swe</w:t>
      </w:r>
      <w:r w:rsidRPr="00484CFB">
        <w:rPr>
          <w:rFonts w:ascii="Times New Roman" w:hAnsi="Times New Roman"/>
          <w:vertAlign w:val="superscript"/>
        </w:rPr>
        <w:t>1</w:t>
      </w:r>
      <w:r>
        <w:rPr>
          <w:rFonts w:ascii="Times New Roman" w:hAnsi="Times New Roman"/>
          <w:vertAlign w:val="superscript"/>
        </w:rPr>
        <w:t>*</w:t>
      </w:r>
      <w:r>
        <w:rPr>
          <w:rFonts w:ascii="Times New Roman" w:hAnsi="Times New Roman"/>
        </w:rPr>
        <w:t>;</w:t>
      </w:r>
      <w:r w:rsidRPr="00484CFB">
        <w:rPr>
          <w:rFonts w:ascii="Times New Roman" w:hAnsi="Times New Roman"/>
        </w:rPr>
        <w:t xml:space="preserve"> Md</w:t>
      </w:r>
      <w:r>
        <w:rPr>
          <w:rFonts w:ascii="Times New Roman" w:hAnsi="Times New Roman"/>
        </w:rPr>
        <w:t>.</w:t>
      </w:r>
      <w:r w:rsidRPr="00484CFB">
        <w:rPr>
          <w:rFonts w:ascii="Times New Roman" w:hAnsi="Times New Roman"/>
        </w:rPr>
        <w:t xml:space="preserve"> Mizanur Rahman</w:t>
      </w:r>
      <w:r>
        <w:rPr>
          <w:rFonts w:ascii="Times New Roman" w:hAnsi="Times New Roman"/>
          <w:vertAlign w:val="superscript"/>
        </w:rPr>
        <w:t>1</w:t>
      </w:r>
      <w:r w:rsidR="005467A4">
        <w:rPr>
          <w:rFonts w:ascii="Times New Roman" w:hAnsi="Times New Roman"/>
        </w:rPr>
        <w:t>;</w:t>
      </w:r>
      <w:r>
        <w:rPr>
          <w:rFonts w:ascii="Times New Roman" w:hAnsi="Times New Roman"/>
        </w:rPr>
        <w:t xml:space="preserve"> Md. Shafiur Rahman</w:t>
      </w:r>
      <w:r>
        <w:rPr>
          <w:rFonts w:ascii="Times New Roman" w:hAnsi="Times New Roman"/>
          <w:vertAlign w:val="superscript"/>
        </w:rPr>
        <w:t>1</w:t>
      </w:r>
      <w:r>
        <w:rPr>
          <w:rFonts w:ascii="Arial" w:hAnsi="Arial" w:cs="Arial"/>
        </w:rPr>
        <w:t xml:space="preserve">; </w:t>
      </w:r>
      <w:r>
        <w:rPr>
          <w:rFonts w:ascii="Times New Roman" w:hAnsi="Times New Roman"/>
        </w:rPr>
        <w:t>Eiko Saito</w:t>
      </w:r>
      <w:r>
        <w:rPr>
          <w:rFonts w:ascii="Times New Roman" w:hAnsi="Times New Roman"/>
          <w:vertAlign w:val="superscript"/>
        </w:rPr>
        <w:t>2</w:t>
      </w:r>
      <w:r>
        <w:rPr>
          <w:rFonts w:ascii="Arial" w:hAnsi="Arial" w:cs="Arial"/>
        </w:rPr>
        <w:t>;</w:t>
      </w:r>
      <w:r>
        <w:rPr>
          <w:rFonts w:ascii="Times New Roman" w:hAnsi="Times New Roman"/>
        </w:rPr>
        <w:t xml:space="preserve"> Sarah K. Abe</w:t>
      </w:r>
      <w:r w:rsidRPr="00484CFB">
        <w:rPr>
          <w:rFonts w:ascii="Times New Roman" w:hAnsi="Times New Roman"/>
          <w:vertAlign w:val="superscript"/>
        </w:rPr>
        <w:t>1</w:t>
      </w:r>
      <w:r>
        <w:rPr>
          <w:rFonts w:ascii="Arial" w:hAnsi="Arial" w:cs="Arial"/>
        </w:rPr>
        <w:t>;</w:t>
      </w:r>
      <w:r>
        <w:rPr>
          <w:rFonts w:ascii="Times New Roman" w:hAnsi="Times New Roman"/>
        </w:rPr>
        <w:t xml:space="preserve"> </w:t>
      </w:r>
      <w:r w:rsidRPr="00484CFB">
        <w:rPr>
          <w:rFonts w:ascii="Times New Roman" w:hAnsi="Times New Roman"/>
        </w:rPr>
        <w:t>Stuart Gilmour</w:t>
      </w:r>
      <w:r w:rsidRPr="00484CFB">
        <w:rPr>
          <w:rFonts w:ascii="Times New Roman" w:hAnsi="Times New Roman"/>
          <w:vertAlign w:val="superscript"/>
        </w:rPr>
        <w:t>1</w:t>
      </w:r>
      <w:r w:rsidR="005467A4">
        <w:rPr>
          <w:rFonts w:ascii="Arial" w:hAnsi="Arial" w:cs="Arial"/>
        </w:rPr>
        <w:t xml:space="preserve"> </w:t>
      </w:r>
      <w:r w:rsidRPr="00484CFB">
        <w:rPr>
          <w:rFonts w:ascii="Times New Roman" w:hAnsi="Times New Roman"/>
        </w:rPr>
        <w:t>and Kenji Shibuya</w:t>
      </w:r>
      <w:r w:rsidRPr="00484CFB">
        <w:rPr>
          <w:rFonts w:ascii="Times New Roman" w:hAnsi="Times New Roman"/>
          <w:vertAlign w:val="superscript"/>
        </w:rPr>
        <w:t>1</w:t>
      </w:r>
    </w:p>
    <w:p w14:paraId="5AF60524" w14:textId="77777777" w:rsidR="002A2461" w:rsidRPr="00B1309C" w:rsidRDefault="002A2461" w:rsidP="000A5130">
      <w:pPr>
        <w:rPr>
          <w:rFonts w:ascii="Times New Roman" w:hAnsi="Times New Roman"/>
          <w:sz w:val="20"/>
          <w:szCs w:val="20"/>
        </w:rPr>
      </w:pPr>
    </w:p>
    <w:p w14:paraId="2B300EF2" w14:textId="77777777" w:rsidR="002A2461" w:rsidRPr="00B1309C" w:rsidRDefault="002A2461" w:rsidP="000A5130">
      <w:pPr>
        <w:widowControl w:val="0"/>
        <w:autoSpaceDE w:val="0"/>
        <w:autoSpaceDN w:val="0"/>
        <w:adjustRightInd w:val="0"/>
        <w:rPr>
          <w:rFonts w:ascii="Times New Roman" w:hAnsi="Times New Roman"/>
          <w:sz w:val="20"/>
          <w:szCs w:val="20"/>
        </w:rPr>
      </w:pPr>
      <w:r w:rsidRPr="00B1309C">
        <w:rPr>
          <w:rFonts w:ascii="Times New Roman" w:hAnsi="Times New Roman"/>
          <w:sz w:val="20"/>
          <w:szCs w:val="20"/>
          <w:vertAlign w:val="superscript"/>
        </w:rPr>
        <w:t>1</w:t>
      </w:r>
      <w:r w:rsidRPr="00B1309C">
        <w:rPr>
          <w:rFonts w:ascii="Times New Roman" w:hAnsi="Times New Roman"/>
          <w:sz w:val="20"/>
          <w:szCs w:val="20"/>
        </w:rPr>
        <w:t>Department of Global Health Policy, School of International Health, Graduate School of Medicine, The University of Tokyo, Japan</w:t>
      </w:r>
    </w:p>
    <w:p w14:paraId="6DBA1DB9" w14:textId="77777777" w:rsidR="009503AA" w:rsidRDefault="002A2461" w:rsidP="000A5130">
      <w:pPr>
        <w:widowControl w:val="0"/>
        <w:autoSpaceDE w:val="0"/>
        <w:autoSpaceDN w:val="0"/>
        <w:adjustRightInd w:val="0"/>
        <w:rPr>
          <w:rFonts w:ascii="Times New Roman" w:hAnsi="Times New Roman"/>
          <w:sz w:val="20"/>
          <w:szCs w:val="20"/>
        </w:rPr>
      </w:pPr>
      <w:r w:rsidRPr="00B1309C">
        <w:rPr>
          <w:rFonts w:ascii="Times New Roman" w:hAnsi="Times New Roman"/>
          <w:sz w:val="20"/>
          <w:szCs w:val="20"/>
          <w:vertAlign w:val="superscript"/>
        </w:rPr>
        <w:t xml:space="preserve">2 </w:t>
      </w:r>
      <w:r w:rsidRPr="00B1309C">
        <w:rPr>
          <w:rFonts w:ascii="Times New Roman" w:hAnsi="Times New Roman"/>
          <w:sz w:val="20"/>
          <w:szCs w:val="20"/>
        </w:rPr>
        <w:t xml:space="preserve">AXA Department of Health and Human Security, Graduate School of Medicine, The University of Tokyo, Japan </w:t>
      </w:r>
    </w:p>
    <w:p w14:paraId="02E03980" w14:textId="77777777" w:rsidR="00740B2C" w:rsidRDefault="00740B2C" w:rsidP="000A5130">
      <w:pPr>
        <w:widowControl w:val="0"/>
        <w:autoSpaceDE w:val="0"/>
        <w:autoSpaceDN w:val="0"/>
        <w:adjustRightInd w:val="0"/>
        <w:rPr>
          <w:rFonts w:ascii="Times New Roman" w:hAnsi="Times New Roman"/>
          <w:sz w:val="20"/>
          <w:szCs w:val="20"/>
        </w:rPr>
      </w:pPr>
    </w:p>
    <w:p w14:paraId="5AA837C8" w14:textId="77777777" w:rsidR="00740B2C" w:rsidRDefault="00740B2C" w:rsidP="000A5130">
      <w:pPr>
        <w:widowControl w:val="0"/>
        <w:autoSpaceDE w:val="0"/>
        <w:autoSpaceDN w:val="0"/>
        <w:adjustRightInd w:val="0"/>
        <w:rPr>
          <w:rFonts w:ascii="Times New Roman" w:hAnsi="Times New Roman"/>
          <w:sz w:val="20"/>
          <w:szCs w:val="20"/>
        </w:rPr>
      </w:pPr>
    </w:p>
    <w:p w14:paraId="79CD6BA2" w14:textId="77777777" w:rsidR="00740B2C" w:rsidRPr="00740B2C" w:rsidRDefault="00740B2C" w:rsidP="00740B2C">
      <w:pPr>
        <w:autoSpaceDE w:val="0"/>
        <w:autoSpaceDN w:val="0"/>
        <w:adjustRightInd w:val="0"/>
        <w:rPr>
          <w:rFonts w:ascii="Times New Roman" w:hAnsi="Times New Roman"/>
          <w:b/>
          <w:sz w:val="20"/>
          <w:szCs w:val="20"/>
        </w:rPr>
      </w:pPr>
      <w:r w:rsidRPr="00740B2C">
        <w:rPr>
          <w:rFonts w:ascii="Times New Roman" w:hAnsi="Times New Roman"/>
          <w:sz w:val="20"/>
          <w:szCs w:val="20"/>
          <w:vertAlign w:val="superscript"/>
        </w:rPr>
        <w:t>*</w:t>
      </w:r>
      <w:r w:rsidRPr="00740B2C">
        <w:rPr>
          <w:rFonts w:ascii="Times New Roman" w:hAnsi="Times New Roman"/>
          <w:sz w:val="20"/>
          <w:szCs w:val="20"/>
          <w:vertAlign w:val="superscript"/>
        </w:rPr>
        <w:t xml:space="preserve"> </w:t>
      </w:r>
      <w:r w:rsidRPr="00740B2C">
        <w:rPr>
          <w:rFonts w:ascii="Times New Roman" w:hAnsi="Times New Roman"/>
          <w:b/>
          <w:sz w:val="20"/>
          <w:szCs w:val="20"/>
        </w:rPr>
        <w:t>Corresponding author</w:t>
      </w:r>
    </w:p>
    <w:p w14:paraId="58A71A24" w14:textId="77777777" w:rsidR="00740B2C" w:rsidRPr="00740B2C" w:rsidRDefault="00740B2C" w:rsidP="00740B2C">
      <w:pPr>
        <w:autoSpaceDE w:val="0"/>
        <w:autoSpaceDN w:val="0"/>
        <w:adjustRightInd w:val="0"/>
        <w:rPr>
          <w:rFonts w:ascii="Times New Roman" w:hAnsi="Times New Roman"/>
          <w:sz w:val="20"/>
          <w:szCs w:val="20"/>
          <w:vertAlign w:val="superscript"/>
        </w:rPr>
      </w:pPr>
      <w:r w:rsidRPr="00740B2C">
        <w:rPr>
          <w:rFonts w:ascii="Times New Roman" w:hAnsi="Times New Roman"/>
          <w:sz w:val="20"/>
          <w:szCs w:val="20"/>
        </w:rPr>
        <w:t>Khin Thet Swe, M.B.B.S, MHS</w:t>
      </w:r>
    </w:p>
    <w:p w14:paraId="1DA2AD53" w14:textId="77777777" w:rsidR="00740B2C" w:rsidRPr="00740B2C" w:rsidRDefault="00740B2C" w:rsidP="00740B2C">
      <w:pPr>
        <w:autoSpaceDE w:val="0"/>
        <w:autoSpaceDN w:val="0"/>
        <w:adjustRightInd w:val="0"/>
        <w:rPr>
          <w:rFonts w:ascii="Times New Roman" w:hAnsi="Times New Roman"/>
          <w:sz w:val="20"/>
          <w:szCs w:val="20"/>
        </w:rPr>
      </w:pPr>
      <w:r w:rsidRPr="00740B2C">
        <w:rPr>
          <w:rFonts w:ascii="Times New Roman" w:hAnsi="Times New Roman"/>
          <w:sz w:val="20"/>
          <w:szCs w:val="20"/>
        </w:rPr>
        <w:t>Department of Global Health Policy</w:t>
      </w:r>
    </w:p>
    <w:p w14:paraId="04DFFF41" w14:textId="77777777" w:rsidR="00740B2C" w:rsidRPr="00740B2C" w:rsidRDefault="00740B2C" w:rsidP="00740B2C">
      <w:pPr>
        <w:autoSpaceDE w:val="0"/>
        <w:autoSpaceDN w:val="0"/>
        <w:adjustRightInd w:val="0"/>
        <w:rPr>
          <w:rFonts w:ascii="Times New Roman" w:hAnsi="Times New Roman"/>
          <w:sz w:val="20"/>
          <w:szCs w:val="20"/>
        </w:rPr>
      </w:pPr>
      <w:r w:rsidRPr="00740B2C">
        <w:rPr>
          <w:rFonts w:ascii="Times New Roman" w:hAnsi="Times New Roman"/>
          <w:sz w:val="20"/>
          <w:szCs w:val="20"/>
        </w:rPr>
        <w:t xml:space="preserve">School of International Health </w:t>
      </w:r>
    </w:p>
    <w:p w14:paraId="205019A3" w14:textId="77777777" w:rsidR="00740B2C" w:rsidRPr="00740B2C" w:rsidRDefault="00740B2C" w:rsidP="00740B2C">
      <w:pPr>
        <w:autoSpaceDE w:val="0"/>
        <w:autoSpaceDN w:val="0"/>
        <w:adjustRightInd w:val="0"/>
        <w:rPr>
          <w:rFonts w:ascii="Times New Roman" w:hAnsi="Times New Roman"/>
          <w:sz w:val="20"/>
          <w:szCs w:val="20"/>
        </w:rPr>
      </w:pPr>
      <w:r w:rsidRPr="00740B2C">
        <w:rPr>
          <w:rFonts w:ascii="Times New Roman" w:hAnsi="Times New Roman"/>
          <w:sz w:val="20"/>
          <w:szCs w:val="20"/>
        </w:rPr>
        <w:t>Graduate School of Medicine</w:t>
      </w:r>
    </w:p>
    <w:p w14:paraId="3BF43E75" w14:textId="77777777" w:rsidR="00740B2C" w:rsidRPr="00740B2C" w:rsidRDefault="00740B2C" w:rsidP="00740B2C">
      <w:pPr>
        <w:autoSpaceDE w:val="0"/>
        <w:autoSpaceDN w:val="0"/>
        <w:adjustRightInd w:val="0"/>
        <w:rPr>
          <w:rFonts w:ascii="Times New Roman" w:hAnsi="Times New Roman"/>
          <w:sz w:val="20"/>
          <w:szCs w:val="20"/>
        </w:rPr>
      </w:pPr>
      <w:r w:rsidRPr="00740B2C">
        <w:rPr>
          <w:rFonts w:ascii="Times New Roman" w:hAnsi="Times New Roman"/>
          <w:sz w:val="20"/>
          <w:szCs w:val="20"/>
        </w:rPr>
        <w:t>The University of Tokyo</w:t>
      </w:r>
    </w:p>
    <w:p w14:paraId="240CE9D8" w14:textId="77777777" w:rsidR="00740B2C" w:rsidRPr="00740B2C" w:rsidRDefault="00740B2C" w:rsidP="00740B2C">
      <w:pPr>
        <w:autoSpaceDE w:val="0"/>
        <w:autoSpaceDN w:val="0"/>
        <w:adjustRightInd w:val="0"/>
        <w:rPr>
          <w:rFonts w:ascii="Times New Roman" w:hAnsi="Times New Roman"/>
          <w:sz w:val="20"/>
          <w:szCs w:val="20"/>
        </w:rPr>
      </w:pPr>
      <w:r w:rsidRPr="00740B2C">
        <w:rPr>
          <w:rFonts w:ascii="Times New Roman" w:hAnsi="Times New Roman"/>
          <w:sz w:val="20"/>
          <w:szCs w:val="20"/>
        </w:rPr>
        <w:t>Tokyo, 113-003, Japan</w:t>
      </w:r>
    </w:p>
    <w:p w14:paraId="1E73C70E" w14:textId="77777777" w:rsidR="00740B2C" w:rsidRPr="00740B2C" w:rsidRDefault="00740B2C" w:rsidP="00740B2C">
      <w:pPr>
        <w:autoSpaceDE w:val="0"/>
        <w:autoSpaceDN w:val="0"/>
        <w:adjustRightInd w:val="0"/>
        <w:contextualSpacing/>
        <w:rPr>
          <w:rFonts w:ascii="Times New Roman" w:hAnsi="Times New Roman"/>
          <w:sz w:val="20"/>
          <w:szCs w:val="20"/>
        </w:rPr>
      </w:pPr>
      <w:r w:rsidRPr="00740B2C">
        <w:rPr>
          <w:rFonts w:ascii="Times New Roman" w:hAnsi="Times New Roman"/>
          <w:sz w:val="20"/>
          <w:szCs w:val="20"/>
        </w:rPr>
        <w:t>E-mail: khinthetswe1989@gmail.com</w:t>
      </w:r>
    </w:p>
    <w:p w14:paraId="18132ACF" w14:textId="06C72A0C" w:rsidR="002A2461" w:rsidRPr="00B1309C" w:rsidRDefault="002A2461" w:rsidP="000A5130">
      <w:pPr>
        <w:widowControl w:val="0"/>
        <w:autoSpaceDE w:val="0"/>
        <w:autoSpaceDN w:val="0"/>
        <w:adjustRightInd w:val="0"/>
        <w:rPr>
          <w:rFonts w:ascii="Times New Roman" w:hAnsi="Times New Roman"/>
          <w:sz w:val="20"/>
          <w:szCs w:val="20"/>
        </w:rPr>
      </w:pPr>
      <w:r w:rsidRPr="00B1309C">
        <w:rPr>
          <w:rFonts w:ascii="Times New Roman" w:hAnsi="Times New Roman"/>
          <w:sz w:val="20"/>
          <w:szCs w:val="20"/>
        </w:rPr>
        <w:br w:type="page"/>
      </w:r>
    </w:p>
    <w:p w14:paraId="325E108E" w14:textId="77777777" w:rsidR="002A2461" w:rsidRPr="00B1309C" w:rsidRDefault="002A2461" w:rsidP="000A5130">
      <w:pPr>
        <w:rPr>
          <w:rFonts w:ascii="Times New Roman" w:hAnsi="Times New Roman"/>
          <w:b/>
        </w:rPr>
      </w:pPr>
      <w:r w:rsidRPr="00B1309C">
        <w:rPr>
          <w:rFonts w:ascii="Times New Roman" w:hAnsi="Times New Roman"/>
          <w:b/>
        </w:rPr>
        <w:lastRenderedPageBreak/>
        <w:t>Data sources</w:t>
      </w:r>
    </w:p>
    <w:p w14:paraId="5DADEAC1" w14:textId="77777777" w:rsidR="002A2461" w:rsidRPr="00B1309C" w:rsidRDefault="002A2461" w:rsidP="000A5130">
      <w:pPr>
        <w:rPr>
          <w:rFonts w:ascii="Times New Roman" w:hAnsi="Times New Roman"/>
          <w:b/>
          <w:sz w:val="20"/>
          <w:szCs w:val="20"/>
        </w:rPr>
      </w:pPr>
    </w:p>
    <w:p w14:paraId="7413DFC7" w14:textId="0100664C" w:rsidR="002A2461" w:rsidRPr="00B1309C" w:rsidRDefault="002A2461" w:rsidP="000A5130">
      <w:pPr>
        <w:spacing w:line="480" w:lineRule="auto"/>
        <w:rPr>
          <w:rFonts w:ascii="Times New Roman" w:hAnsi="Times New Roman"/>
          <w:b/>
          <w:sz w:val="20"/>
          <w:szCs w:val="20"/>
        </w:rPr>
      </w:pPr>
      <w:r w:rsidRPr="00B1309C">
        <w:rPr>
          <w:rFonts w:ascii="Times New Roman" w:hAnsi="Times New Roman"/>
          <w:sz w:val="20"/>
          <w:szCs w:val="20"/>
        </w:rPr>
        <w:t>Nepal Living Standards Surveys in 1995 (NLSS I) and 2010 (NLSS III) were conducted by the central bureau of statistics of Nepal in cooperation with the World Bank. Sample households were selected using a two-stage stratified sampling procedure in 1995 and a three-stage stratified sampling procedure in 2010 and covered the whole country in both urban and rural areas. Under this sampling frame, 3373 households were selected in 1995 and 5988 households in 2010. In the first stage sampling (NLSS I), primary sampling units (PSU) were selected with probability proportional to size from each of the four strata. The second stage was sampled from each selected PSU with equal probabilities. In 2010, (NLSS III) consisted of two types of sample: cross-sectional sample and panel sample. The cross-sectional sample was selected by three-stage sampling procedure. The PSUs were sampled by probability proportional to size from six strata. Then, the six strata were subdivided into 14 substrata. The samples were selected from previously selected PSUs with equal probabilities. In the third stage, 12 households were equally sampled from each PSU with additional 6 PSUs, which can be used as a replacement for non-response households. The panel sample was selected from 100 PSUs in Nepal Living Standards Survey 2003 (NLSS II): 50 PSUs were selected from the cross-sectional component of NLSS II and the rest were chosen from NLSS II panel component. The details of the sampling methods are described in the Nepal Living Standards Survey report.</w:t>
      </w:r>
      <w:r w:rsidR="005467A4">
        <w:rPr>
          <w:rFonts w:ascii="Times New Roman" w:hAnsi="Times New Roman"/>
          <w:noProof/>
          <w:sz w:val="20"/>
          <w:szCs w:val="20"/>
        </w:rPr>
        <w:t>[</w:t>
      </w:r>
      <w:r>
        <w:rPr>
          <w:rFonts w:ascii="Times New Roman" w:hAnsi="Times New Roman"/>
          <w:noProof/>
          <w:sz w:val="20"/>
          <w:szCs w:val="20"/>
        </w:rPr>
        <w:t>1, 2</w:t>
      </w:r>
      <w:r w:rsidR="005467A4">
        <w:rPr>
          <w:rFonts w:ascii="Times New Roman" w:hAnsi="Times New Roman"/>
          <w:noProof/>
          <w:sz w:val="20"/>
          <w:szCs w:val="20"/>
        </w:rPr>
        <w:t>]</w:t>
      </w:r>
    </w:p>
    <w:p w14:paraId="397CC430" w14:textId="77777777" w:rsidR="002A2461" w:rsidRPr="00B1309C" w:rsidRDefault="002A2461" w:rsidP="000A5130">
      <w:pPr>
        <w:rPr>
          <w:rFonts w:ascii="Times New Roman" w:hAnsi="Times New Roman"/>
          <w:b/>
          <w:sz w:val="20"/>
          <w:szCs w:val="20"/>
        </w:rPr>
      </w:pPr>
    </w:p>
    <w:p w14:paraId="027F38B0" w14:textId="77777777" w:rsidR="002A2461" w:rsidRPr="00B1309C" w:rsidRDefault="002A2461" w:rsidP="000A5130">
      <w:pPr>
        <w:rPr>
          <w:rFonts w:ascii="Times New Roman" w:hAnsi="Times New Roman"/>
          <w:b/>
        </w:rPr>
      </w:pPr>
      <w:r w:rsidRPr="00B1309C">
        <w:rPr>
          <w:rFonts w:ascii="Times New Roman" w:hAnsi="Times New Roman"/>
          <w:b/>
        </w:rPr>
        <w:t>Consumption expenditure</w:t>
      </w:r>
    </w:p>
    <w:p w14:paraId="65AE63D8" w14:textId="77777777" w:rsidR="002A2461" w:rsidRPr="00B1309C" w:rsidRDefault="002A2461" w:rsidP="000A5130">
      <w:pPr>
        <w:rPr>
          <w:rFonts w:ascii="Times New Roman" w:hAnsi="Times New Roman"/>
          <w:b/>
          <w:sz w:val="20"/>
          <w:szCs w:val="20"/>
        </w:rPr>
      </w:pPr>
    </w:p>
    <w:p w14:paraId="6E39403E"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 xml:space="preserve">The components of total household consumption aggregates included (i) food consumption, (ii) non-food consumption and (iii) durable goods. All of the components aggregated were estimated into an annual form due to the different recall period in different sections and converted into monthly estimates for incidence of catastrophic and impoverishment estimation. </w:t>
      </w:r>
    </w:p>
    <w:p w14:paraId="25627526"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The estimates of total food consumption aggregates included</w:t>
      </w:r>
    </w:p>
    <w:p w14:paraId="4D34F890" w14:textId="77777777" w:rsidR="002A2461" w:rsidRPr="00B1309C" w:rsidRDefault="002A2461" w:rsidP="000A5130">
      <w:pPr>
        <w:pStyle w:val="ListParagraph"/>
        <w:numPr>
          <w:ilvl w:val="0"/>
          <w:numId w:val="10"/>
        </w:numPr>
        <w:spacing w:line="480" w:lineRule="auto"/>
        <w:rPr>
          <w:rFonts w:ascii="Times New Roman" w:hAnsi="Times New Roman"/>
          <w:sz w:val="20"/>
          <w:szCs w:val="20"/>
        </w:rPr>
      </w:pPr>
      <w:r w:rsidRPr="00B1309C">
        <w:rPr>
          <w:rFonts w:ascii="Times New Roman" w:hAnsi="Times New Roman"/>
          <w:sz w:val="20"/>
          <w:szCs w:val="20"/>
        </w:rPr>
        <w:t xml:space="preserve">Purchased food </w:t>
      </w:r>
    </w:p>
    <w:p w14:paraId="04308A47" w14:textId="77777777" w:rsidR="002A2461" w:rsidRPr="00B1309C" w:rsidRDefault="002A2461" w:rsidP="000A5130">
      <w:pPr>
        <w:pStyle w:val="ListParagraph"/>
        <w:numPr>
          <w:ilvl w:val="0"/>
          <w:numId w:val="10"/>
        </w:numPr>
        <w:spacing w:line="480" w:lineRule="auto"/>
        <w:rPr>
          <w:rFonts w:ascii="Times New Roman" w:hAnsi="Times New Roman"/>
          <w:sz w:val="20"/>
          <w:szCs w:val="20"/>
        </w:rPr>
      </w:pPr>
      <w:r w:rsidRPr="00B1309C">
        <w:rPr>
          <w:rFonts w:ascii="Times New Roman" w:hAnsi="Times New Roman"/>
          <w:sz w:val="20"/>
          <w:szCs w:val="20"/>
        </w:rPr>
        <w:t>Home production food</w:t>
      </w:r>
    </w:p>
    <w:p w14:paraId="553570BA" w14:textId="77777777" w:rsidR="002A2461" w:rsidRPr="00B1309C" w:rsidRDefault="002A2461" w:rsidP="000A5130">
      <w:pPr>
        <w:pStyle w:val="ListParagraph"/>
        <w:numPr>
          <w:ilvl w:val="0"/>
          <w:numId w:val="10"/>
        </w:numPr>
        <w:spacing w:line="480" w:lineRule="auto"/>
        <w:rPr>
          <w:rFonts w:ascii="Times New Roman" w:hAnsi="Times New Roman"/>
          <w:sz w:val="20"/>
          <w:szCs w:val="20"/>
        </w:rPr>
      </w:pPr>
      <w:r w:rsidRPr="00B1309C">
        <w:rPr>
          <w:rFonts w:ascii="Times New Roman" w:hAnsi="Times New Roman"/>
          <w:sz w:val="20"/>
          <w:szCs w:val="20"/>
        </w:rPr>
        <w:t>Gifted or in-kind food</w:t>
      </w:r>
    </w:p>
    <w:p w14:paraId="7E326C7A"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 xml:space="preserve">The estimates of total non-food consumption aggregates included </w:t>
      </w:r>
    </w:p>
    <w:p w14:paraId="6F788D83"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 xml:space="preserve">Education </w:t>
      </w:r>
    </w:p>
    <w:p w14:paraId="7ED9CAE7"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Housing and it’s utility fees</w:t>
      </w:r>
    </w:p>
    <w:p w14:paraId="044A0AEA"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Personal care items</w:t>
      </w:r>
    </w:p>
    <w:p w14:paraId="27916463"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Household care items</w:t>
      </w:r>
    </w:p>
    <w:p w14:paraId="0FC4F858"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 xml:space="preserve">Transportation </w:t>
      </w:r>
    </w:p>
    <w:p w14:paraId="1277FB4C"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Cloths in-kind</w:t>
      </w:r>
    </w:p>
    <w:p w14:paraId="1FF05659"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Personal care in-kind</w:t>
      </w:r>
    </w:p>
    <w:p w14:paraId="622D4F99"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Household items in-kind</w:t>
      </w:r>
    </w:p>
    <w:p w14:paraId="7F53946B"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 xml:space="preserve">Health </w:t>
      </w:r>
    </w:p>
    <w:p w14:paraId="4471C608" w14:textId="77777777" w:rsidR="002A2461" w:rsidRPr="00B1309C" w:rsidRDefault="002A2461" w:rsidP="000A5130">
      <w:pPr>
        <w:pStyle w:val="ListParagraph"/>
        <w:numPr>
          <w:ilvl w:val="0"/>
          <w:numId w:val="11"/>
        </w:numPr>
        <w:spacing w:line="480" w:lineRule="auto"/>
        <w:rPr>
          <w:rFonts w:ascii="Times New Roman" w:hAnsi="Times New Roman"/>
          <w:sz w:val="20"/>
          <w:szCs w:val="20"/>
        </w:rPr>
      </w:pPr>
      <w:r w:rsidRPr="00B1309C">
        <w:rPr>
          <w:rFonts w:ascii="Times New Roman" w:hAnsi="Times New Roman"/>
          <w:sz w:val="20"/>
          <w:szCs w:val="20"/>
        </w:rPr>
        <w:t xml:space="preserve">Tobacco </w:t>
      </w:r>
    </w:p>
    <w:p w14:paraId="5BC6EFCE"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 xml:space="preserve">The variables related to taxes, marriage, funerals and durable goods in the non-food section were excluded from our analysis. </w:t>
      </w:r>
    </w:p>
    <w:p w14:paraId="79EA95F0" w14:textId="35F801BC" w:rsidR="002A2461" w:rsidRPr="00B1309C" w:rsidRDefault="002A2461" w:rsidP="000A5130">
      <w:pPr>
        <w:spacing w:line="480" w:lineRule="auto"/>
        <w:rPr>
          <w:rFonts w:ascii="Times New Roman" w:hAnsi="Times New Roman"/>
          <w:b/>
          <w:sz w:val="20"/>
          <w:szCs w:val="20"/>
        </w:rPr>
      </w:pPr>
      <w:r w:rsidRPr="00B1309C">
        <w:rPr>
          <w:rFonts w:ascii="Times New Roman" w:hAnsi="Times New Roman"/>
          <w:sz w:val="20"/>
          <w:szCs w:val="20"/>
        </w:rPr>
        <w:t>The durable goods were estimated by using the current market value and previous value of durable goods, the age of the item from section 6 part C, the real rate of interest and rate of depreciation of durable goods according to the guideline of constructing consumption aggregates for welfare analysis by Angus Deaton and Salman Zaidi.</w:t>
      </w:r>
      <w:r w:rsidR="005467A4">
        <w:rPr>
          <w:rFonts w:ascii="Times New Roman" w:hAnsi="Times New Roman"/>
          <w:noProof/>
          <w:sz w:val="20"/>
          <w:szCs w:val="20"/>
        </w:rPr>
        <w:t>[</w:t>
      </w:r>
      <w:r>
        <w:rPr>
          <w:rFonts w:ascii="Times New Roman" w:hAnsi="Times New Roman"/>
          <w:noProof/>
          <w:sz w:val="20"/>
          <w:szCs w:val="20"/>
        </w:rPr>
        <w:t>3</w:t>
      </w:r>
      <w:r w:rsidR="005467A4">
        <w:rPr>
          <w:rFonts w:ascii="Times New Roman" w:hAnsi="Times New Roman"/>
          <w:noProof/>
          <w:sz w:val="20"/>
          <w:szCs w:val="20"/>
        </w:rPr>
        <w:t>]</w:t>
      </w:r>
      <w:r w:rsidRPr="00B1309C">
        <w:rPr>
          <w:rFonts w:ascii="Times New Roman" w:hAnsi="Times New Roman"/>
          <w:sz w:val="20"/>
          <w:szCs w:val="20"/>
        </w:rPr>
        <w:t xml:space="preserve"> In the durable goods section in the 2010 questionnaires, the own account production of goods part from the non-food expenditure section (section 6 part D) was not included in our estimates to be consistent with the 1995 estimation. </w:t>
      </w:r>
    </w:p>
    <w:p w14:paraId="37870BCD" w14:textId="77777777" w:rsidR="002A2461" w:rsidRPr="00B1309C" w:rsidRDefault="002A2461" w:rsidP="000A5130">
      <w:pPr>
        <w:rPr>
          <w:rFonts w:ascii="Times New Roman" w:hAnsi="Times New Roman"/>
          <w:b/>
          <w:sz w:val="20"/>
          <w:szCs w:val="20"/>
        </w:rPr>
      </w:pPr>
    </w:p>
    <w:p w14:paraId="52DC9BCD" w14:textId="77777777" w:rsidR="002A2461" w:rsidRPr="00B1309C" w:rsidRDefault="002A2461" w:rsidP="000A5130">
      <w:pPr>
        <w:rPr>
          <w:rFonts w:ascii="Times New Roman" w:hAnsi="Times New Roman"/>
          <w:b/>
        </w:rPr>
      </w:pPr>
      <w:r w:rsidRPr="00B1309C">
        <w:rPr>
          <w:rFonts w:ascii="Times New Roman" w:hAnsi="Times New Roman"/>
          <w:b/>
        </w:rPr>
        <w:t>OOP measurements</w:t>
      </w:r>
      <w:bookmarkStart w:id="0" w:name="_GoBack"/>
      <w:bookmarkEnd w:id="0"/>
    </w:p>
    <w:p w14:paraId="7451E9A0" w14:textId="77777777" w:rsidR="002A2461" w:rsidRPr="00B1309C" w:rsidRDefault="002A2461" w:rsidP="000A5130">
      <w:pPr>
        <w:rPr>
          <w:rFonts w:ascii="Times New Roman" w:hAnsi="Times New Roman"/>
          <w:sz w:val="20"/>
          <w:szCs w:val="20"/>
        </w:rPr>
      </w:pPr>
    </w:p>
    <w:p w14:paraId="057C9D62"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Out-of-pocket (OOP) health care costs reported in this study included the cost of consultation, diagnosis, medicine, transport and other expenses regardless of the place of consultation. Broad illnesses were categorized according to the illnesses listed in the 1995 and 2010 surveys. Respiratory problems were listed in both chronic and recent acute illnesses in 2010, we regarded these as recent acute illnesses to be consistent with the 1995 survey. During data management, both chronic illness and recent acute illness were combined as individual illness and the same illnesses (respiratory illness and others) that appeared twice in both categories were regarded as overlap and one was dropped from our analysis.</w:t>
      </w:r>
    </w:p>
    <w:p w14:paraId="18AE6EA1" w14:textId="77777777" w:rsidR="002A2461" w:rsidRPr="00B1309C" w:rsidRDefault="002A2461" w:rsidP="000A5130">
      <w:pPr>
        <w:spacing w:line="480" w:lineRule="auto"/>
        <w:rPr>
          <w:rFonts w:ascii="Times New Roman" w:hAnsi="Times New Roman"/>
          <w:sz w:val="20"/>
          <w:szCs w:val="20"/>
        </w:rPr>
      </w:pPr>
    </w:p>
    <w:p w14:paraId="76D6C88A" w14:textId="77777777" w:rsidR="002A2461" w:rsidRPr="00B1309C" w:rsidRDefault="002A2461" w:rsidP="000A5130">
      <w:pPr>
        <w:spacing w:line="480" w:lineRule="auto"/>
        <w:rPr>
          <w:rFonts w:ascii="Times New Roman" w:hAnsi="Times New Roman"/>
          <w:b/>
        </w:rPr>
      </w:pPr>
      <w:r w:rsidRPr="00B1309C">
        <w:rPr>
          <w:rFonts w:ascii="Times New Roman" w:hAnsi="Times New Roman"/>
          <w:b/>
        </w:rPr>
        <w:t>Financial burden estimation</w:t>
      </w:r>
    </w:p>
    <w:p w14:paraId="28D83CDC"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 xml:space="preserve">The economic burden due to health was estimated at two levels: household level and individual illness level. The individual illness specific OOP health payment was aggregated into household level to get household OOP health payment. The household level recent acute illness OOP health payment was used to estimate our household level catastrophic health payment. If the household did not have any cost for recent acute illnesses, the OOP health payment from chronic illnesses was used for that household. </w:t>
      </w:r>
    </w:p>
    <w:p w14:paraId="0AA39EF7"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To distinguish which illnesses incur more distress to households, the incidence of disease-specific catastrophic health payment and impoverishment were estimated in each of the illnesses rather than all illnesses. Even if one household had the same type of illnesses, the cost of these illnesses was not combined to get the actual incidence of catastrophic health expenditure for each of the diseases. Our disease-specific catastrophic health expenditure may not reflect the reality of household economic burden and may be under-estimated.</w:t>
      </w:r>
    </w:p>
    <w:p w14:paraId="42161171"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OOP values in 1995 were converted into 2010 values using the GDP deflator. The GDP deflator of Nepal in 2010 was 192</w:t>
      </w:r>
      <w:r>
        <w:rPr>
          <w:rFonts w:ascii="Times New Roman" w:hAnsi="Times New Roman"/>
          <w:sz w:val="20"/>
          <w:szCs w:val="20"/>
        </w:rPr>
        <w:t>.</w:t>
      </w:r>
      <w:r w:rsidRPr="00B1309C">
        <w:rPr>
          <w:rFonts w:ascii="Times New Roman" w:hAnsi="Times New Roman"/>
          <w:sz w:val="20"/>
          <w:szCs w:val="20"/>
        </w:rPr>
        <w:t>8 and that of 1995 was 65</w:t>
      </w:r>
      <w:r>
        <w:rPr>
          <w:rFonts w:ascii="Times New Roman" w:hAnsi="Times New Roman"/>
          <w:sz w:val="20"/>
          <w:szCs w:val="20"/>
        </w:rPr>
        <w:t>.</w:t>
      </w:r>
      <w:r w:rsidRPr="00B1309C">
        <w:rPr>
          <w:rFonts w:ascii="Times New Roman" w:hAnsi="Times New Roman"/>
          <w:sz w:val="20"/>
          <w:szCs w:val="20"/>
        </w:rPr>
        <w:t xml:space="preserve">8 according to World Bank development indicators. </w:t>
      </w:r>
    </w:p>
    <w:p w14:paraId="63A8003A" w14:textId="77777777" w:rsidR="002A2461" w:rsidRPr="00B1309C" w:rsidRDefault="00740B2C" w:rsidP="000A5130">
      <w:pPr>
        <w:spacing w:line="480" w:lineRule="auto"/>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Cost</m:t>
              </m:r>
            </m:e>
            <m:sub>
              <m:r>
                <w:rPr>
                  <w:rFonts w:ascii="Cambria Math" w:hAnsi="Cambria Math"/>
                  <w:sz w:val="20"/>
                  <w:szCs w:val="20"/>
                </w:rPr>
                <m:t>2010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Cost</m:t>
              </m:r>
            </m:e>
            <m:sub>
              <m:r>
                <w:rPr>
                  <w:rFonts w:ascii="Cambria Math" w:hAnsi="Cambria Math"/>
                  <w:sz w:val="20"/>
                  <w:szCs w:val="20"/>
                </w:rPr>
                <m:t>1995</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Deflator</m:t>
                  </m:r>
                </m:e>
                <m:sub>
                  <m:r>
                    <w:rPr>
                      <w:rFonts w:ascii="Cambria Math" w:hAnsi="Cambria Math"/>
                      <w:sz w:val="20"/>
                      <w:szCs w:val="20"/>
                    </w:rPr>
                    <m:t>2010</m:t>
                  </m:r>
                </m:sub>
              </m:sSub>
            </m:num>
            <m:den>
              <m:sSub>
                <m:sSubPr>
                  <m:ctrlPr>
                    <w:rPr>
                      <w:rFonts w:ascii="Cambria Math" w:hAnsi="Cambria Math"/>
                      <w:i/>
                      <w:sz w:val="20"/>
                      <w:szCs w:val="20"/>
                    </w:rPr>
                  </m:ctrlPr>
                </m:sSubPr>
                <m:e>
                  <m:r>
                    <w:rPr>
                      <w:rFonts w:ascii="Cambria Math" w:hAnsi="Cambria Math"/>
                      <w:sz w:val="20"/>
                      <w:szCs w:val="20"/>
                    </w:rPr>
                    <m:t xml:space="preserve">Deflator </m:t>
                  </m:r>
                </m:e>
                <m:sub>
                  <m:r>
                    <w:rPr>
                      <w:rFonts w:ascii="Cambria Math" w:hAnsi="Cambria Math"/>
                      <w:sz w:val="20"/>
                      <w:szCs w:val="20"/>
                    </w:rPr>
                    <m:t>1995</m:t>
                  </m:r>
                </m:sub>
              </m:sSub>
            </m:den>
          </m:f>
          <m:r>
            <w:rPr>
              <w:rFonts w:ascii="Cambria Math" w:hAnsi="Cambria Math"/>
              <w:sz w:val="20"/>
              <w:szCs w:val="20"/>
            </w:rPr>
            <m:t>)</m:t>
          </m:r>
        </m:oMath>
      </m:oMathPara>
    </w:p>
    <w:p w14:paraId="3F1DABA7"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 xml:space="preserve">Where, </w:t>
      </w:r>
    </w:p>
    <w:p w14:paraId="704F05CC"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Cost</w:t>
      </w:r>
      <w:r w:rsidRPr="00B1309C">
        <w:rPr>
          <w:rFonts w:ascii="Times New Roman" w:hAnsi="Times New Roman"/>
          <w:sz w:val="20"/>
          <w:szCs w:val="20"/>
          <w:vertAlign w:val="subscript"/>
        </w:rPr>
        <w:t>2010</w:t>
      </w:r>
      <w:r w:rsidRPr="00B1309C">
        <w:rPr>
          <w:rFonts w:ascii="Times New Roman" w:hAnsi="Times New Roman"/>
          <w:sz w:val="20"/>
          <w:szCs w:val="20"/>
        </w:rPr>
        <w:t xml:space="preserve"> = the value in 2010 </w:t>
      </w:r>
    </w:p>
    <w:p w14:paraId="229E650A"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Cost</w:t>
      </w:r>
      <w:r w:rsidRPr="00B1309C">
        <w:rPr>
          <w:rFonts w:ascii="Times New Roman" w:hAnsi="Times New Roman"/>
          <w:sz w:val="20"/>
          <w:szCs w:val="20"/>
          <w:vertAlign w:val="subscript"/>
        </w:rPr>
        <w:t xml:space="preserve">1995 </w:t>
      </w:r>
      <w:r w:rsidRPr="00B1309C">
        <w:rPr>
          <w:rFonts w:ascii="Times New Roman" w:hAnsi="Times New Roman"/>
          <w:sz w:val="20"/>
          <w:szCs w:val="20"/>
        </w:rPr>
        <w:t>= the value in 1995</w:t>
      </w:r>
    </w:p>
    <w:p w14:paraId="3196E2E9"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Deflator</w:t>
      </w:r>
      <w:r w:rsidRPr="00B1309C">
        <w:rPr>
          <w:rFonts w:ascii="Times New Roman" w:hAnsi="Times New Roman"/>
          <w:sz w:val="20"/>
          <w:szCs w:val="20"/>
          <w:vertAlign w:val="subscript"/>
        </w:rPr>
        <w:t xml:space="preserve">2010 </w:t>
      </w:r>
      <w:r w:rsidRPr="00B1309C">
        <w:rPr>
          <w:rFonts w:ascii="Times New Roman" w:hAnsi="Times New Roman"/>
          <w:sz w:val="20"/>
          <w:szCs w:val="20"/>
        </w:rPr>
        <w:t xml:space="preserve">= GDP deflator in year 2010 </w:t>
      </w:r>
    </w:p>
    <w:p w14:paraId="048BD9EB"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Deflator</w:t>
      </w:r>
      <w:r w:rsidRPr="00B1309C">
        <w:rPr>
          <w:rFonts w:ascii="Times New Roman" w:hAnsi="Times New Roman"/>
          <w:sz w:val="20"/>
          <w:szCs w:val="20"/>
          <w:vertAlign w:val="subscript"/>
        </w:rPr>
        <w:t>1995</w:t>
      </w:r>
      <w:r w:rsidRPr="00B1309C">
        <w:rPr>
          <w:rFonts w:ascii="Times New Roman" w:hAnsi="Times New Roman"/>
          <w:sz w:val="20"/>
          <w:szCs w:val="20"/>
        </w:rPr>
        <w:t xml:space="preserve"> = GDP deflator in year 1995</w:t>
      </w:r>
    </w:p>
    <w:p w14:paraId="0433B49D" w14:textId="77777777" w:rsidR="002A2461" w:rsidRPr="00B1309C" w:rsidRDefault="002A2461" w:rsidP="000A5130">
      <w:pPr>
        <w:spacing w:line="480" w:lineRule="auto"/>
        <w:rPr>
          <w:rFonts w:ascii="Times New Roman" w:hAnsi="Times New Roman"/>
          <w:b/>
          <w:sz w:val="20"/>
          <w:szCs w:val="20"/>
        </w:rPr>
      </w:pPr>
    </w:p>
    <w:p w14:paraId="4EA48CE7" w14:textId="77777777" w:rsidR="002A2461" w:rsidRPr="00B1309C" w:rsidRDefault="002A2461" w:rsidP="000A5130">
      <w:pPr>
        <w:spacing w:line="480" w:lineRule="auto"/>
        <w:rPr>
          <w:rFonts w:ascii="Times New Roman" w:hAnsi="Times New Roman"/>
          <w:b/>
        </w:rPr>
      </w:pPr>
      <w:r w:rsidRPr="00B1309C">
        <w:rPr>
          <w:rFonts w:ascii="Times New Roman" w:hAnsi="Times New Roman"/>
          <w:b/>
        </w:rPr>
        <w:t xml:space="preserve">Measurement of catastrophic health expenditure </w:t>
      </w:r>
    </w:p>
    <w:p w14:paraId="19BE57A8"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The incidence of catastrophic payment is defined as exceeding a certain fraction of OOP payment as a share of total expenditure or non-food expenditure or capacity to pay. To estimate the incidence of catastrophic health expenditure, assume</w:t>
      </w:r>
    </w:p>
    <w:p w14:paraId="3635846D" w14:textId="77777777" w:rsidR="002A2461" w:rsidRPr="00B1309C" w:rsidRDefault="002A2461" w:rsidP="000A5130">
      <w:pPr>
        <w:pStyle w:val="ListParagraph"/>
        <w:numPr>
          <w:ilvl w:val="0"/>
          <w:numId w:val="4"/>
        </w:numPr>
        <w:spacing w:line="480" w:lineRule="auto"/>
        <w:rPr>
          <w:rFonts w:ascii="Times New Roman" w:hAnsi="Times New Roman"/>
          <w:sz w:val="20"/>
          <w:szCs w:val="20"/>
        </w:rPr>
      </w:pPr>
      <w:r w:rsidRPr="00B1309C">
        <w:rPr>
          <w:rFonts w:ascii="Times New Roman" w:hAnsi="Times New Roman"/>
          <w:sz w:val="20"/>
          <w:szCs w:val="20"/>
        </w:rPr>
        <w:t xml:space="preserve">Z is set as a threshold for our fraction of catastrophic expenditure. In our paper, we chose different thresholds: more than and equal to 40% of capacity to pay, 10% or 15% of total consumption, and 40% of non food consumption. </w:t>
      </w:r>
    </w:p>
    <w:p w14:paraId="3E260C82" w14:textId="77777777" w:rsidR="002A2461" w:rsidRPr="00B1309C" w:rsidRDefault="002A2461" w:rsidP="000A5130">
      <w:pPr>
        <w:pStyle w:val="ListParagraph"/>
        <w:numPr>
          <w:ilvl w:val="0"/>
          <w:numId w:val="4"/>
        </w:numPr>
        <w:spacing w:line="480" w:lineRule="auto"/>
        <w:rPr>
          <w:rFonts w:ascii="Times New Roman" w:hAnsi="Times New Roman"/>
          <w:sz w:val="20"/>
          <w:szCs w:val="20"/>
        </w:rPr>
      </w:pPr>
      <w:r w:rsidRPr="00B1309C">
        <w:rPr>
          <w:rFonts w:ascii="Times New Roman" w:hAnsi="Times New Roman"/>
          <w:sz w:val="20"/>
          <w:szCs w:val="20"/>
        </w:rPr>
        <w:t xml:space="preserve">H is the household or individual whose OOP payment share exceeded threshold Z </w:t>
      </w:r>
    </w:p>
    <w:p w14:paraId="54BAB8EF" w14:textId="77777777" w:rsidR="002A2461" w:rsidRPr="00B1309C" w:rsidRDefault="002A2461" w:rsidP="000A5130">
      <w:pPr>
        <w:pStyle w:val="ListParagraph"/>
        <w:numPr>
          <w:ilvl w:val="0"/>
          <w:numId w:val="4"/>
        </w:numPr>
        <w:spacing w:line="480" w:lineRule="auto"/>
        <w:rPr>
          <w:rFonts w:ascii="Times New Roman" w:hAnsi="Times New Roman"/>
          <w:sz w:val="20"/>
          <w:szCs w:val="20"/>
        </w:rPr>
      </w:pPr>
      <w:r w:rsidRPr="00B1309C">
        <w:rPr>
          <w:rFonts w:ascii="Times New Roman" w:hAnsi="Times New Roman"/>
          <w:sz w:val="20"/>
          <w:szCs w:val="20"/>
        </w:rPr>
        <w:t>T is the OOP expenditure on health either as a household or individual illness</w:t>
      </w:r>
    </w:p>
    <w:p w14:paraId="1A557D45" w14:textId="77777777" w:rsidR="002A2461" w:rsidRPr="00B1309C" w:rsidRDefault="002A2461" w:rsidP="000A5130">
      <w:pPr>
        <w:pStyle w:val="ListParagraph"/>
        <w:numPr>
          <w:ilvl w:val="0"/>
          <w:numId w:val="4"/>
        </w:numPr>
        <w:spacing w:line="480" w:lineRule="auto"/>
        <w:rPr>
          <w:rFonts w:ascii="Times New Roman" w:hAnsi="Times New Roman"/>
          <w:sz w:val="20"/>
          <w:szCs w:val="20"/>
        </w:rPr>
      </w:pPr>
      <w:r w:rsidRPr="00B1309C">
        <w:rPr>
          <w:rFonts w:ascii="Times New Roman" w:hAnsi="Times New Roman"/>
          <w:sz w:val="20"/>
          <w:szCs w:val="20"/>
        </w:rPr>
        <w:t>X is the chosen denominator, in this case, capacity to pay, total consumption and non-food expenditure</w:t>
      </w:r>
    </w:p>
    <w:p w14:paraId="5CB38EBD" w14:textId="77777777" w:rsidR="002A2461" w:rsidRPr="00B1309C" w:rsidRDefault="002A2461" w:rsidP="000A5130">
      <w:pPr>
        <w:pStyle w:val="ListParagraph"/>
        <w:numPr>
          <w:ilvl w:val="0"/>
          <w:numId w:val="4"/>
        </w:numPr>
        <w:spacing w:line="480" w:lineRule="auto"/>
        <w:rPr>
          <w:rFonts w:ascii="Times New Roman" w:hAnsi="Times New Roman"/>
          <w:sz w:val="20"/>
          <w:szCs w:val="20"/>
        </w:rPr>
      </w:pPr>
      <w:r w:rsidRPr="00B1309C">
        <w:rPr>
          <w:rFonts w:ascii="Times New Roman" w:hAnsi="Times New Roman"/>
          <w:sz w:val="20"/>
          <w:szCs w:val="20"/>
        </w:rPr>
        <w:t>P is the indicator if T</w:t>
      </w:r>
      <w:r w:rsidRPr="00B1309C">
        <w:rPr>
          <w:rFonts w:ascii="Times New Roman" w:hAnsi="Times New Roman"/>
          <w:sz w:val="20"/>
          <w:szCs w:val="20"/>
          <w:vertAlign w:val="subscript"/>
        </w:rPr>
        <w:t>i</w:t>
      </w:r>
      <w:r w:rsidRPr="00B1309C">
        <w:rPr>
          <w:rFonts w:ascii="Times New Roman" w:hAnsi="Times New Roman"/>
          <w:sz w:val="20"/>
          <w:szCs w:val="20"/>
        </w:rPr>
        <w:t>/ X</w:t>
      </w:r>
      <w:r w:rsidRPr="00B1309C">
        <w:rPr>
          <w:rFonts w:ascii="Times New Roman" w:hAnsi="Times New Roman"/>
          <w:sz w:val="20"/>
          <w:szCs w:val="20"/>
          <w:vertAlign w:val="subscript"/>
        </w:rPr>
        <w:t xml:space="preserve">i </w:t>
      </w:r>
      <w:r w:rsidRPr="00B1309C">
        <w:rPr>
          <w:rFonts w:ascii="Times New Roman" w:hAnsi="Times New Roman"/>
          <w:sz w:val="20"/>
          <w:szCs w:val="20"/>
        </w:rPr>
        <w:t>&gt; Z equals 1 and 0 otherwise.</w:t>
      </w:r>
    </w:p>
    <w:p w14:paraId="6F77DE38"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 xml:space="preserve">Our formula for incidence of catastrophic health payment is given by </w:t>
      </w:r>
    </w:p>
    <w:p w14:paraId="64950A52" w14:textId="77777777" w:rsidR="002A2461" w:rsidRPr="00B1309C" w:rsidRDefault="002A2461" w:rsidP="000A5130">
      <w:pPr>
        <w:spacing w:line="480" w:lineRule="auto"/>
        <w:rPr>
          <w:rFonts w:ascii="Times New Roman" w:hAnsi="Times New Roman"/>
          <w:sz w:val="20"/>
          <w:szCs w:val="20"/>
        </w:rPr>
      </w:pPr>
      <m:oMathPara>
        <m:oMath>
          <m:r>
            <w:rPr>
              <w:rFonts w:ascii="Cambria Math" w:hAnsi="Cambria Math"/>
              <w:sz w:val="20"/>
              <w:szCs w:val="20"/>
            </w:rPr>
            <m:t>H=</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i</m:t>
                  </m:r>
                </m:sub>
              </m:sSub>
            </m:e>
          </m:nary>
        </m:oMath>
      </m:oMathPara>
    </w:p>
    <w:p w14:paraId="44B9CEEB" w14:textId="77777777" w:rsidR="002A2461" w:rsidRPr="00B1309C" w:rsidRDefault="002A2461" w:rsidP="000A5130">
      <w:pPr>
        <w:spacing w:line="480" w:lineRule="auto"/>
        <w:rPr>
          <w:rFonts w:ascii="Times New Roman" w:hAnsi="Times New Roman"/>
          <w:b/>
        </w:rPr>
      </w:pPr>
      <w:r w:rsidRPr="00B1309C">
        <w:rPr>
          <w:rFonts w:ascii="Times New Roman" w:hAnsi="Times New Roman"/>
          <w:b/>
        </w:rPr>
        <w:t>Measurement of impoverishment</w:t>
      </w:r>
    </w:p>
    <w:p w14:paraId="2743F320"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 xml:space="preserve">Impoverishment due to OOP payment is captured by estimating the difference in poverty head count with and without OOP payment </w:t>
      </w:r>
    </w:p>
    <w:p w14:paraId="74D2DFB9" w14:textId="77777777" w:rsidR="002A2461" w:rsidRPr="00B1309C" w:rsidRDefault="002A2461" w:rsidP="000A5130">
      <w:pPr>
        <w:pStyle w:val="ListParagraph"/>
        <w:numPr>
          <w:ilvl w:val="0"/>
          <w:numId w:val="5"/>
        </w:numPr>
        <w:spacing w:line="480" w:lineRule="auto"/>
        <w:rPr>
          <w:rFonts w:ascii="Times New Roman" w:hAnsi="Times New Roman"/>
          <w:sz w:val="20"/>
          <w:szCs w:val="20"/>
        </w:rPr>
      </w:pPr>
      <w:r w:rsidRPr="00B1309C">
        <w:rPr>
          <w:rFonts w:ascii="Times New Roman" w:hAnsi="Times New Roman"/>
          <w:sz w:val="20"/>
          <w:szCs w:val="20"/>
        </w:rPr>
        <w:t>X is the total expenditure per capita + per capita OOP health expenditure</w:t>
      </w:r>
    </w:p>
    <w:p w14:paraId="58DDB8E3" w14:textId="77777777" w:rsidR="002A2461" w:rsidRPr="00B1309C" w:rsidRDefault="002A2461" w:rsidP="000A5130">
      <w:pPr>
        <w:pStyle w:val="ListParagraph"/>
        <w:numPr>
          <w:ilvl w:val="0"/>
          <w:numId w:val="5"/>
        </w:numPr>
        <w:spacing w:line="480" w:lineRule="auto"/>
        <w:rPr>
          <w:rFonts w:ascii="Times New Roman" w:hAnsi="Times New Roman"/>
          <w:sz w:val="20"/>
          <w:szCs w:val="20"/>
        </w:rPr>
      </w:pPr>
      <w:r w:rsidRPr="00B1309C">
        <w:rPr>
          <w:rFonts w:ascii="Times New Roman" w:hAnsi="Times New Roman"/>
          <w:sz w:val="20"/>
          <w:szCs w:val="20"/>
        </w:rPr>
        <w:t xml:space="preserve">PL is the poverty line, in this paper, food basket poverty line </w:t>
      </w:r>
    </w:p>
    <w:p w14:paraId="4D0ABFE5" w14:textId="77777777" w:rsidR="002A2461" w:rsidRPr="00B1309C" w:rsidRDefault="002A2461" w:rsidP="000A5130">
      <w:pPr>
        <w:pStyle w:val="ListParagraph"/>
        <w:numPr>
          <w:ilvl w:val="0"/>
          <w:numId w:val="5"/>
        </w:numPr>
        <w:spacing w:line="480" w:lineRule="auto"/>
        <w:rPr>
          <w:rFonts w:ascii="Times New Roman" w:hAnsi="Times New Roman"/>
          <w:sz w:val="20"/>
          <w:szCs w:val="20"/>
        </w:rPr>
      </w:pPr>
      <w:r w:rsidRPr="00B1309C">
        <w:rPr>
          <w:rFonts w:ascii="Times New Roman" w:hAnsi="Times New Roman"/>
          <w:sz w:val="20"/>
          <w:szCs w:val="20"/>
        </w:rPr>
        <w:t>Gross</w:t>
      </w:r>
      <w:r w:rsidRPr="00B1309C">
        <w:rPr>
          <w:rFonts w:ascii="Times New Roman" w:hAnsi="Times New Roman"/>
          <w:sz w:val="20"/>
          <w:szCs w:val="20"/>
          <w:vertAlign w:val="subscript"/>
        </w:rPr>
        <w:t>h</w:t>
      </w:r>
      <w:r w:rsidRPr="00B1309C">
        <w:rPr>
          <w:rFonts w:ascii="Times New Roman" w:hAnsi="Times New Roman"/>
          <w:sz w:val="20"/>
          <w:szCs w:val="20"/>
        </w:rPr>
        <w:t xml:space="preserve"> is the pre-payment poverty head count which is obtained by, </w:t>
      </w:r>
    </w:p>
    <w:p w14:paraId="30708F75" w14:textId="77777777" w:rsidR="002A2461" w:rsidRPr="00B1309C" w:rsidRDefault="002A2461" w:rsidP="000A5130">
      <w:pPr>
        <w:spacing w:line="480" w:lineRule="auto"/>
        <w:rPr>
          <w:rFonts w:ascii="Times New Roman" w:hAnsi="Times New Roman"/>
          <w:sz w:val="20"/>
          <w:szCs w:val="20"/>
        </w:rPr>
      </w:pPr>
      <m:oMathPara>
        <m:oMath>
          <m:r>
            <w:rPr>
              <w:rFonts w:ascii="Cambria Math" w:hAnsi="Cambria Math"/>
              <w:sz w:val="20"/>
              <w:szCs w:val="20"/>
            </w:rPr>
            <m:t>Gros</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h</m:t>
              </m:r>
            </m:sub>
          </m:sSub>
          <m:r>
            <w:rPr>
              <w:rFonts w:ascii="Cambria Math" w:hAnsi="Cambria Math"/>
              <w:sz w:val="20"/>
              <w:szCs w:val="20"/>
            </w:rPr>
            <m:t>=X &lt;PL</m:t>
          </m:r>
        </m:oMath>
      </m:oMathPara>
    </w:p>
    <w:p w14:paraId="693C381E" w14:textId="77777777" w:rsidR="002A2461" w:rsidRPr="00B1309C" w:rsidRDefault="002A2461" w:rsidP="000A5130">
      <w:pPr>
        <w:pStyle w:val="ListParagraph"/>
        <w:numPr>
          <w:ilvl w:val="0"/>
          <w:numId w:val="6"/>
        </w:numPr>
        <w:spacing w:line="480" w:lineRule="auto"/>
        <w:rPr>
          <w:rFonts w:ascii="Times New Roman" w:hAnsi="Times New Roman"/>
          <w:sz w:val="20"/>
          <w:szCs w:val="20"/>
        </w:rPr>
      </w:pPr>
      <w:r w:rsidRPr="00B1309C">
        <w:rPr>
          <w:rFonts w:ascii="Times New Roman" w:hAnsi="Times New Roman"/>
          <w:sz w:val="20"/>
          <w:szCs w:val="20"/>
        </w:rPr>
        <w:t>Net</w:t>
      </w:r>
      <w:r w:rsidRPr="00B1309C">
        <w:rPr>
          <w:rFonts w:ascii="Times New Roman" w:hAnsi="Times New Roman"/>
          <w:sz w:val="20"/>
          <w:szCs w:val="20"/>
          <w:vertAlign w:val="subscript"/>
        </w:rPr>
        <w:t>x</w:t>
      </w:r>
      <w:r w:rsidRPr="00B1309C">
        <w:rPr>
          <w:rFonts w:ascii="Times New Roman" w:hAnsi="Times New Roman"/>
          <w:sz w:val="20"/>
          <w:szCs w:val="20"/>
        </w:rPr>
        <w:t xml:space="preserve"> is the per capita total expenditure after paying health care</w:t>
      </w:r>
    </w:p>
    <w:p w14:paraId="4641D514" w14:textId="77777777" w:rsidR="002A2461" w:rsidRPr="00B1309C" w:rsidRDefault="002A2461" w:rsidP="000A5130">
      <w:pPr>
        <w:pStyle w:val="ListParagraph"/>
        <w:numPr>
          <w:ilvl w:val="0"/>
          <w:numId w:val="6"/>
        </w:numPr>
        <w:spacing w:line="480" w:lineRule="auto"/>
        <w:rPr>
          <w:rFonts w:ascii="Times New Roman" w:hAnsi="Times New Roman"/>
          <w:sz w:val="20"/>
          <w:szCs w:val="20"/>
        </w:rPr>
      </w:pPr>
      <w:r w:rsidRPr="00B1309C">
        <w:rPr>
          <w:rFonts w:ascii="Times New Roman" w:hAnsi="Times New Roman"/>
          <w:sz w:val="20"/>
          <w:szCs w:val="20"/>
        </w:rPr>
        <w:t xml:space="preserve">OOP is the out-of-pocket payment for health </w:t>
      </w:r>
    </w:p>
    <w:p w14:paraId="6698359B" w14:textId="77777777" w:rsidR="002A2461" w:rsidRPr="00B1309C" w:rsidRDefault="002A2461" w:rsidP="000A5130">
      <w:pPr>
        <w:pStyle w:val="ListParagraph"/>
        <w:numPr>
          <w:ilvl w:val="0"/>
          <w:numId w:val="6"/>
        </w:numPr>
        <w:spacing w:line="480" w:lineRule="auto"/>
        <w:rPr>
          <w:rFonts w:ascii="Times New Roman" w:hAnsi="Times New Roman"/>
          <w:sz w:val="20"/>
          <w:szCs w:val="20"/>
        </w:rPr>
      </w:pPr>
      <w:r w:rsidRPr="00B1309C">
        <w:rPr>
          <w:rFonts w:ascii="Times New Roman" w:hAnsi="Times New Roman"/>
          <w:sz w:val="20"/>
          <w:szCs w:val="20"/>
        </w:rPr>
        <w:t>Net</w:t>
      </w:r>
      <w:r w:rsidRPr="00B1309C">
        <w:rPr>
          <w:rFonts w:ascii="Times New Roman" w:hAnsi="Times New Roman"/>
          <w:sz w:val="20"/>
          <w:szCs w:val="20"/>
          <w:vertAlign w:val="subscript"/>
        </w:rPr>
        <w:t>h</w:t>
      </w:r>
      <w:r w:rsidRPr="00B1309C">
        <w:rPr>
          <w:rFonts w:ascii="Times New Roman" w:hAnsi="Times New Roman"/>
          <w:sz w:val="20"/>
          <w:szCs w:val="20"/>
        </w:rPr>
        <w:t xml:space="preserve"> is the post payment poverty head count which is obtained by </w:t>
      </w:r>
    </w:p>
    <w:p w14:paraId="784D773D" w14:textId="77777777" w:rsidR="002A2461" w:rsidRPr="00B1309C" w:rsidRDefault="002A2461" w:rsidP="000A5130">
      <w:pPr>
        <w:spacing w:line="480" w:lineRule="auto"/>
        <w:rPr>
          <w:rFonts w:ascii="Times New Roman" w:hAnsi="Times New Roman"/>
          <w:sz w:val="20"/>
          <w:szCs w:val="20"/>
        </w:rPr>
      </w:pPr>
      <m:oMathPara>
        <m:oMath>
          <m:r>
            <w:rPr>
              <w:rFonts w:ascii="Cambria Math" w:hAnsi="Cambria Math"/>
              <w:sz w:val="20"/>
              <w:szCs w:val="20"/>
            </w:rPr>
            <m:t>Ne</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m:t>
              </m:r>
            </m:sub>
          </m:sSub>
          <m:r>
            <w:rPr>
              <w:rFonts w:ascii="Cambria Math" w:hAnsi="Cambria Math"/>
              <w:sz w:val="20"/>
              <w:szCs w:val="20"/>
            </w:rPr>
            <m:t>=X-OOP</m:t>
          </m:r>
        </m:oMath>
      </m:oMathPara>
    </w:p>
    <w:p w14:paraId="4EE449A2" w14:textId="77777777" w:rsidR="002A2461" w:rsidRPr="00B1309C" w:rsidRDefault="002A2461" w:rsidP="000A5130">
      <w:pPr>
        <w:spacing w:line="480" w:lineRule="auto"/>
        <w:rPr>
          <w:rFonts w:ascii="Times New Roman" w:hAnsi="Times New Roman"/>
          <w:sz w:val="20"/>
          <w:szCs w:val="20"/>
        </w:rPr>
      </w:pPr>
      <m:oMathPara>
        <m:oMath>
          <m:r>
            <w:rPr>
              <w:rFonts w:ascii="Cambria Math" w:hAnsi="Cambria Math"/>
              <w:sz w:val="20"/>
              <w:szCs w:val="20"/>
            </w:rPr>
            <m:t>Ne</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m:t>
              </m:r>
            </m:sub>
          </m:sSub>
          <m:r>
            <w:rPr>
              <w:rFonts w:ascii="Cambria Math" w:hAnsi="Cambria Math"/>
              <w:sz w:val="20"/>
              <w:szCs w:val="20"/>
            </w:rPr>
            <m:t>=Ne</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x</m:t>
              </m:r>
            </m:sub>
          </m:sSub>
          <m:r>
            <w:rPr>
              <w:rFonts w:ascii="Cambria Math" w:hAnsi="Cambria Math"/>
              <w:sz w:val="20"/>
              <w:szCs w:val="20"/>
            </w:rPr>
            <m:t>&lt;PL</m:t>
          </m:r>
        </m:oMath>
      </m:oMathPara>
    </w:p>
    <w:p w14:paraId="26E9AA0A" w14:textId="77777777" w:rsidR="002A2461" w:rsidRPr="00B1309C" w:rsidRDefault="002A2461" w:rsidP="000A5130">
      <w:pPr>
        <w:pStyle w:val="ListParagraph"/>
        <w:numPr>
          <w:ilvl w:val="0"/>
          <w:numId w:val="7"/>
        </w:numPr>
        <w:spacing w:line="480" w:lineRule="auto"/>
        <w:rPr>
          <w:rFonts w:ascii="Times New Roman" w:hAnsi="Times New Roman"/>
          <w:sz w:val="20"/>
          <w:szCs w:val="20"/>
        </w:rPr>
      </w:pPr>
      <w:r w:rsidRPr="00B1309C">
        <w:rPr>
          <w:rFonts w:ascii="Times New Roman" w:hAnsi="Times New Roman"/>
          <w:sz w:val="20"/>
          <w:szCs w:val="20"/>
        </w:rPr>
        <w:t xml:space="preserve">The poverty head count due to OOP payment is estimated by </w:t>
      </w:r>
    </w:p>
    <w:p w14:paraId="6D2D0178" w14:textId="77777777" w:rsidR="002A2461" w:rsidRPr="00B1309C" w:rsidRDefault="002A2461" w:rsidP="000A5130">
      <w:pPr>
        <w:spacing w:line="480" w:lineRule="auto"/>
        <w:rPr>
          <w:rFonts w:ascii="Times New Roman" w:hAnsi="Times New Roman"/>
          <w:sz w:val="20"/>
          <w:szCs w:val="20"/>
        </w:rPr>
      </w:pPr>
      <m:oMathPara>
        <m:oMath>
          <m:r>
            <w:rPr>
              <w:rFonts w:ascii="Cambria Math" w:hAnsi="Cambria Math"/>
              <w:sz w:val="20"/>
              <w:szCs w:val="20"/>
            </w:rPr>
            <m:t>Dif</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h</m:t>
              </m:r>
            </m:sub>
          </m:sSub>
          <m:r>
            <w:rPr>
              <w:rFonts w:ascii="Cambria Math" w:hAnsi="Cambria Math"/>
              <w:sz w:val="20"/>
              <w:szCs w:val="20"/>
            </w:rPr>
            <m:t>=Ne</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m:t>
              </m:r>
            </m:sub>
          </m:sSub>
          <m:r>
            <w:rPr>
              <w:rFonts w:ascii="Cambria Math" w:hAnsi="Cambria Math"/>
              <w:sz w:val="20"/>
              <w:szCs w:val="20"/>
            </w:rPr>
            <m:t>-Gros</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h</m:t>
              </m:r>
            </m:sub>
          </m:sSub>
        </m:oMath>
      </m:oMathPara>
    </w:p>
    <w:p w14:paraId="729E4F81" w14:textId="77777777" w:rsidR="002A2461" w:rsidRPr="00B1309C" w:rsidRDefault="002A2461" w:rsidP="000A5130">
      <w:pPr>
        <w:spacing w:line="480" w:lineRule="auto"/>
        <w:rPr>
          <w:rFonts w:ascii="Times New Roman" w:hAnsi="Times New Roman"/>
          <w:sz w:val="20"/>
          <w:szCs w:val="20"/>
        </w:rPr>
      </w:pPr>
      <w:r w:rsidRPr="00B1309C">
        <w:rPr>
          <w:rFonts w:ascii="Times New Roman" w:hAnsi="Times New Roman"/>
          <w:sz w:val="20"/>
          <w:szCs w:val="20"/>
        </w:rPr>
        <w:t xml:space="preserve">For this calculation, poverty was defined as per capita total consumption expenditure less than the cost of minimum calorie requirement of 2124 kcal per day in 1995 and 2220 kcal per day in 2010. We estimated impoverishment due to OOP payment at household level and individual disease level by using the same food poverty line. </w:t>
      </w:r>
    </w:p>
    <w:p w14:paraId="1C7D9BF0" w14:textId="721A2A66" w:rsidR="002A2461" w:rsidRPr="00B46437" w:rsidRDefault="002A2461" w:rsidP="005467A4">
      <w:pPr>
        <w:spacing w:line="480" w:lineRule="auto"/>
        <w:rPr>
          <w:rFonts w:ascii="Times New Roman" w:hAnsi="Times New Roman"/>
          <w:b/>
        </w:rPr>
      </w:pPr>
      <w:r w:rsidRPr="00B46437">
        <w:rPr>
          <w:rFonts w:ascii="Times New Roman" w:hAnsi="Times New Roman"/>
          <w:b/>
        </w:rPr>
        <w:t>Average annual rate of change</w:t>
      </w:r>
    </w:p>
    <w:p w14:paraId="19D4044E" w14:textId="77777777" w:rsidR="002A2461" w:rsidRPr="00B46437" w:rsidRDefault="002A2461" w:rsidP="000A5130">
      <w:pPr>
        <w:spacing w:line="480" w:lineRule="auto"/>
        <w:rPr>
          <w:rFonts w:ascii="Times New Roman" w:hAnsi="Times New Roman"/>
        </w:rPr>
      </w:pPr>
      <w:r w:rsidRPr="00B46437">
        <w:rPr>
          <w:rFonts w:ascii="Times New Roman" w:hAnsi="Times New Roman"/>
        </w:rPr>
        <w:t>In this paper, the changes in economic burden of each of illness over 15 years were estimated by using average annual growth to estimate the average change.</w:t>
      </w:r>
    </w:p>
    <w:p w14:paraId="75B5EE10" w14:textId="77777777" w:rsidR="002A2461" w:rsidRPr="00B46437" w:rsidRDefault="00740B2C" w:rsidP="000A5130">
      <w:pPr>
        <w:spacing w:line="480" w:lineRule="auto"/>
        <w:rPr>
          <w:rFonts w:ascii="Times New Roman" w:hAnsi="Times New Roman"/>
        </w:rPr>
      </w:pPr>
      <m:oMathPara>
        <m:oMathParaPr>
          <m:jc m:val="center"/>
        </m:oMathParaPr>
        <m:oMath>
          <m:sSub>
            <m:sSubPr>
              <m:ctrlPr>
                <w:rPr>
                  <w:rFonts w:ascii="Cambria Math" w:hAnsi="Cambria Math"/>
                  <w:i/>
                </w:rPr>
              </m:ctrlPr>
            </m:sSubPr>
            <m:e>
              <m:r>
                <w:rPr>
                  <w:rFonts w:ascii="Cambria Math" w:hAnsi="Cambria Math"/>
                </w:rPr>
                <m:t>Y</m:t>
              </m:r>
            </m:e>
            <m:sub>
              <m:r>
                <w:rPr>
                  <w:rFonts w:ascii="Cambria Math" w:hAnsi="Cambria Math"/>
                </w:rPr>
                <m:t>t+n</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sSup>
            <m:sSupPr>
              <m:ctrlPr>
                <w:rPr>
                  <w:rFonts w:ascii="Cambria Math" w:hAnsi="Cambria Math"/>
                  <w:i/>
                </w:rPr>
              </m:ctrlPr>
            </m:sSupPr>
            <m:e>
              <m:r>
                <w:rPr>
                  <w:rFonts w:ascii="Cambria Math" w:hAnsi="Cambria Math"/>
                </w:rPr>
                <m:t>(1+b)</m:t>
              </m:r>
            </m:e>
            <m:sup>
              <m:r>
                <w:rPr>
                  <w:rFonts w:ascii="Cambria Math" w:hAnsi="Cambria Math"/>
                </w:rPr>
                <m:t>n</m:t>
              </m:r>
            </m:sup>
          </m:sSup>
        </m:oMath>
      </m:oMathPara>
    </w:p>
    <w:p w14:paraId="5F7AD1D3" w14:textId="77777777" w:rsidR="002A2461" w:rsidRPr="00B46437" w:rsidRDefault="00740B2C" w:rsidP="000A5130">
      <w:pPr>
        <w:spacing w:line="480" w:lineRule="auto"/>
        <w:rPr>
          <w:rFonts w:ascii="Times New Roman" w:hAnsi="Times New Roman"/>
        </w:rPr>
      </w:pPr>
      <m:oMathPara>
        <m:oMathParaPr>
          <m:jc m:val="center"/>
        </m:oMathParaP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t+n</m:t>
                      </m:r>
                    </m:sub>
                  </m:sSub>
                  <m:r>
                    <w:rPr>
                      <w:rFonts w:ascii="Cambria Math" w:hAnsi="Cambria Math"/>
                    </w:rPr>
                    <m:t>=</m:t>
                  </m:r>
                  <m:func>
                    <m:funcPr>
                      <m:ctrlPr>
                        <w:rPr>
                          <w:rFonts w:ascii="Cambria Math" w:hAnsi="Cambria Math"/>
                          <w:i/>
                        </w:rPr>
                      </m:ctrlPr>
                    </m:funcPr>
                    <m:fName>
                      <m:r>
                        <w:rPr>
                          <w:rFonts w:ascii="Cambria Math" w:hAnsi="Cambria Math"/>
                        </w:rPr>
                        <m:t>ln</m:t>
                      </m:r>
                    </m:fName>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e>
                  </m:func>
                </m:e>
              </m:d>
            </m:e>
          </m:func>
          <m:r>
            <w:rPr>
              <w:rFonts w:ascii="Cambria Math" w:hAnsi="Cambria Math"/>
            </w:rPr>
            <m:t>+ n*</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1+b</m:t>
                  </m:r>
                </m:e>
              </m:d>
            </m:e>
          </m:func>
        </m:oMath>
      </m:oMathPara>
    </w:p>
    <w:p w14:paraId="05D068CB" w14:textId="77777777" w:rsidR="002A2461" w:rsidRPr="00B46437" w:rsidRDefault="002A2461" w:rsidP="000A5130">
      <w:pPr>
        <w:spacing w:line="480" w:lineRule="auto"/>
        <w:rPr>
          <w:rFonts w:ascii="Times New Roman" w:hAnsi="Times New Roman"/>
        </w:rPr>
      </w:pPr>
      <m:oMathPara>
        <m:oMathParaPr>
          <m:jc m:val="center"/>
        </m:oMathParaPr>
        <m:oMath>
          <m:r>
            <w:rPr>
              <w:rFonts w:ascii="Cambria Math" w:hAnsi="Cambria Math"/>
            </w:rPr>
            <m:t>n*</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1+b</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t+n</m:t>
                          </m:r>
                        </m:sub>
                      </m:sSub>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e>
                  </m:d>
                </m:e>
              </m:func>
            </m:e>
          </m:func>
        </m:oMath>
      </m:oMathPara>
    </w:p>
    <w:p w14:paraId="2750DEC2" w14:textId="77777777" w:rsidR="002A2461" w:rsidRPr="00B46437" w:rsidRDefault="00740B2C" w:rsidP="000A5130">
      <w:pPr>
        <w:spacing w:line="480" w:lineRule="auto"/>
        <w:rPr>
          <w:rFonts w:ascii="Times New Roman" w:hAnsi="Times New Roman"/>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1+b</m:t>
                  </m:r>
                </m:e>
              </m:d>
              <m:r>
                <w:rPr>
                  <w:rFonts w:ascii="Cambria Math" w:hAnsi="Cambria Math"/>
                </w:rPr>
                <m:t>=</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t+n</m:t>
                              </m:r>
                            </m:sub>
                          </m:sSub>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e>
                      </m:d>
                    </m:e>
                  </m:func>
                  <m:r>
                    <w:rPr>
                      <w:rFonts w:ascii="Cambria Math" w:hAnsi="Cambria Math"/>
                      <w:i/>
                    </w:rPr>
                    <w:fldChar w:fldCharType="begin"/>
                  </m:r>
                  <m:r>
                    <w:rPr>
                      <w:rFonts w:ascii="Cambria Math" w:hAnsi="Cambria Math"/>
                      <w:i/>
                    </w:rPr>
                    <w:fldChar w:fldCharType="separate"/>
                  </m:r>
                  <m:r>
                    <m:rPr>
                      <m:sty m:val="p"/>
                    </m:rPr>
                    <w:rPr>
                      <w:rFonts w:ascii="Cambria Math" w:hAnsi="Cambria Math"/>
                    </w:rPr>
                    <m:t>{Saito, 2014 #63}</m:t>
                  </m:r>
                  <m:r>
                    <w:rPr>
                      <w:rFonts w:ascii="Cambria Math" w:hAnsi="Cambria Math"/>
                      <w:i/>
                    </w:rPr>
                    <w:fldChar w:fldCharType="end"/>
                  </m:r>
                </m:num>
                <m:den>
                  <m:r>
                    <w:rPr>
                      <w:rFonts w:ascii="Cambria Math" w:hAnsi="Cambria Math"/>
                    </w:rPr>
                    <m:t>n</m:t>
                  </m:r>
                </m:den>
              </m:f>
            </m:e>
          </m:func>
        </m:oMath>
      </m:oMathPara>
    </w:p>
    <w:p w14:paraId="647E75FE" w14:textId="77777777" w:rsidR="002A2461" w:rsidRPr="00B46437" w:rsidRDefault="002A2461" w:rsidP="000A5130">
      <w:pPr>
        <w:spacing w:line="480" w:lineRule="auto"/>
        <w:rPr>
          <w:rFonts w:ascii="Times New Roman" w:hAnsi="Times New Roman"/>
        </w:rPr>
      </w:pPr>
      <m:oMathPara>
        <m:oMath>
          <m:r>
            <w:rPr>
              <w:rFonts w:ascii="Cambria Math" w:hAnsi="Cambria Math"/>
            </w:rPr>
            <m:t>1+b=</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begChr m:val="["/>
                  <m:endChr m:val=""/>
                  <m:ctrlPr>
                    <w:rPr>
                      <w:rFonts w:ascii="Cambria Math" w:hAnsi="Cambria Math"/>
                      <w:i/>
                    </w:rPr>
                  </m:ctrlPr>
                </m:dPr>
                <m:e>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t+n</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e>
                                  </m:d>
                                </m:e>
                              </m:func>
                            </m:e>
                          </m:d>
                        </m:num>
                        <m:den>
                          <m:r>
                            <w:rPr>
                              <w:rFonts w:ascii="Cambria Math" w:hAnsi="Cambria Math"/>
                            </w:rPr>
                            <m:t>n</m:t>
                          </m:r>
                        </m:den>
                      </m:f>
                    </m:e>
                  </m:d>
                </m:e>
              </m:d>
            </m:e>
          </m:func>
        </m:oMath>
      </m:oMathPara>
    </w:p>
    <w:p w14:paraId="62816FFB" w14:textId="77777777" w:rsidR="002A2461" w:rsidRPr="00B46437" w:rsidRDefault="002A2461" w:rsidP="000A5130">
      <w:pPr>
        <w:spacing w:line="480" w:lineRule="auto"/>
        <w:rPr>
          <w:rFonts w:ascii="Times New Roman" w:hAnsi="Times New Roman"/>
        </w:rPr>
      </w:pPr>
      <m:oMathPara>
        <m:oMath>
          <m:r>
            <w:rPr>
              <w:rFonts w:ascii="Cambria Math" w:hAnsi="Cambria Math"/>
            </w:rPr>
            <m:t>b=</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begChr m:val="["/>
                  <m:endChr m:val=""/>
                  <m:ctrlPr>
                    <w:rPr>
                      <w:rFonts w:ascii="Cambria Math" w:hAnsi="Cambria Math"/>
                      <w:i/>
                    </w:rPr>
                  </m:ctrlPr>
                </m:dPr>
                <m:e>
                  <m:d>
                    <m:dPr>
                      <m:begChr m:val=""/>
                      <m:endChr m:val="]"/>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t+n</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e>
                                  </m:d>
                                </m:e>
                              </m:func>
                            </m:e>
                          </m:d>
                        </m:num>
                        <m:den>
                          <m:r>
                            <w:rPr>
                              <w:rFonts w:ascii="Cambria Math" w:hAnsi="Cambria Math"/>
                            </w:rPr>
                            <m:t>n</m:t>
                          </m:r>
                        </m:den>
                      </m:f>
                    </m:e>
                  </m:d>
                </m:e>
              </m:d>
            </m:e>
          </m:func>
          <m:r>
            <w:rPr>
              <w:rFonts w:ascii="Cambria Math" w:hAnsi="Cambria Math"/>
            </w:rPr>
            <m:t>-1</m:t>
          </m:r>
        </m:oMath>
      </m:oMathPara>
    </w:p>
    <w:p w14:paraId="1AB1E0CE" w14:textId="77777777" w:rsidR="002A2461" w:rsidRPr="00B46437" w:rsidRDefault="002A2461" w:rsidP="000A5130">
      <w:pPr>
        <w:spacing w:line="480" w:lineRule="auto"/>
        <w:rPr>
          <w:rFonts w:ascii="Times New Roman" w:hAnsi="Times New Roman"/>
        </w:rPr>
      </w:pPr>
      <w:r w:rsidRPr="00B46437">
        <w:rPr>
          <w:rFonts w:ascii="Times New Roman" w:hAnsi="Times New Roman"/>
        </w:rPr>
        <w:t>Where,</w:t>
      </w:r>
    </w:p>
    <w:p w14:paraId="3509F28A" w14:textId="77777777" w:rsidR="002A2461" w:rsidRPr="00B46437" w:rsidRDefault="002A2461" w:rsidP="000A5130">
      <w:pPr>
        <w:spacing w:line="480" w:lineRule="auto"/>
        <w:ind w:left="720"/>
        <w:rPr>
          <w:rFonts w:ascii="Times New Roman" w:hAnsi="Times New Roman"/>
        </w:rPr>
      </w:pPr>
      <w:r w:rsidRPr="00B46437">
        <w:rPr>
          <w:rFonts w:ascii="Times New Roman" w:hAnsi="Times New Roman"/>
        </w:rPr>
        <w:t xml:space="preserve"> </w:t>
      </w:r>
      <m:oMath>
        <m:sSub>
          <m:sSubPr>
            <m:ctrlPr>
              <w:rPr>
                <w:rFonts w:ascii="Cambria Math" w:hAnsi="Cambria Math"/>
                <w:i/>
              </w:rPr>
            </m:ctrlPr>
          </m:sSubPr>
          <m:e>
            <m:r>
              <w:rPr>
                <w:rFonts w:ascii="Cambria Math" w:hAnsi="Cambria Math"/>
              </w:rPr>
              <m:t>Y</m:t>
            </m:r>
          </m:e>
          <m:sub>
            <m:r>
              <w:rPr>
                <w:rFonts w:ascii="Cambria Math" w:hAnsi="Cambria Math"/>
              </w:rPr>
              <m:t>t+n</m:t>
            </m:r>
          </m:sub>
        </m:sSub>
      </m:oMath>
      <w:r w:rsidRPr="00B46437">
        <w:rPr>
          <w:rFonts w:ascii="Times New Roman" w:hAnsi="Times New Roman"/>
        </w:rPr>
        <w:t xml:space="preserve"> = current year value</w:t>
      </w:r>
    </w:p>
    <w:p w14:paraId="59AA5858" w14:textId="77777777" w:rsidR="002A2461" w:rsidRPr="00B46437" w:rsidRDefault="00740B2C" w:rsidP="000A5130">
      <w:pPr>
        <w:spacing w:line="480" w:lineRule="auto"/>
        <w:ind w:left="720"/>
        <w:rPr>
          <w:rFonts w:ascii="Times New Roman" w:hAnsi="Times New Roman"/>
        </w:rPr>
      </w:pP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2A2461" w:rsidRPr="00B46437">
        <w:rPr>
          <w:rFonts w:ascii="Times New Roman" w:hAnsi="Times New Roman"/>
        </w:rPr>
        <w:t xml:space="preserve"> = previous year value </w:t>
      </w:r>
    </w:p>
    <w:p w14:paraId="770C1B5B" w14:textId="77777777" w:rsidR="002A2461" w:rsidRPr="00B46437" w:rsidRDefault="002A2461" w:rsidP="000A5130">
      <w:pPr>
        <w:spacing w:line="480" w:lineRule="auto"/>
        <w:ind w:left="720"/>
        <w:rPr>
          <w:rFonts w:ascii="Times New Roman" w:hAnsi="Times New Roman"/>
        </w:rPr>
      </w:pPr>
      <w:r w:rsidRPr="00B46437">
        <w:rPr>
          <w:rFonts w:ascii="STIXGeneral-Regular" w:hAnsi="STIXGeneral-Regular" w:cs="STIXGeneral-Regular"/>
          <w:i/>
        </w:rPr>
        <w:t>𝑏</w:t>
      </w:r>
      <w:r w:rsidRPr="00B46437">
        <w:rPr>
          <w:rFonts w:ascii="Times New Roman" w:hAnsi="Times New Roman"/>
          <w:i/>
        </w:rPr>
        <w:t xml:space="preserve"> </w:t>
      </w:r>
      <w:r w:rsidRPr="00B46437">
        <w:rPr>
          <w:rFonts w:ascii="Times New Roman" w:hAnsi="Times New Roman"/>
        </w:rPr>
        <w:t xml:space="preserve"> = average annual rate of change in percentage </w:t>
      </w:r>
    </w:p>
    <w:p w14:paraId="268267C6" w14:textId="77777777" w:rsidR="002A2461" w:rsidRPr="00B46437" w:rsidRDefault="002A2461" w:rsidP="000A5130">
      <w:pPr>
        <w:spacing w:line="480" w:lineRule="auto"/>
        <w:ind w:left="720"/>
        <w:rPr>
          <w:rFonts w:ascii="Times New Roman" w:hAnsi="Times New Roman"/>
        </w:rPr>
      </w:pPr>
      <w:r w:rsidRPr="00B46437">
        <w:rPr>
          <w:rFonts w:ascii="Times New Roman" w:hAnsi="Times New Roman"/>
        </w:rPr>
        <w:t>n = number of year difference</w:t>
      </w:r>
    </w:p>
    <w:p w14:paraId="73D3D830" w14:textId="77777777" w:rsidR="002A2461" w:rsidRPr="00B46437" w:rsidRDefault="002A2461" w:rsidP="000A5130">
      <w:pPr>
        <w:spacing w:line="480" w:lineRule="auto"/>
        <w:rPr>
          <w:rFonts w:ascii="Times New Roman" w:hAnsi="Times New Roman"/>
        </w:rPr>
      </w:pPr>
    </w:p>
    <w:p w14:paraId="2119B1A9" w14:textId="77777777" w:rsidR="002A2461" w:rsidRPr="00B46437" w:rsidRDefault="002A2461" w:rsidP="000A5130">
      <w:pPr>
        <w:spacing w:line="480" w:lineRule="auto"/>
        <w:rPr>
          <w:rFonts w:ascii="Times New Roman" w:hAnsi="Times New Roman"/>
        </w:rPr>
      </w:pPr>
      <w:r w:rsidRPr="00B46437">
        <w:rPr>
          <w:rFonts w:ascii="Times New Roman" w:hAnsi="Times New Roman"/>
          <w:b/>
        </w:rPr>
        <w:t>Inequality analysis</w:t>
      </w:r>
    </w:p>
    <w:p w14:paraId="71C15C8F" w14:textId="77777777" w:rsidR="002A2461" w:rsidRPr="00B46437" w:rsidRDefault="002A2461" w:rsidP="000A5130">
      <w:pPr>
        <w:autoSpaceDE w:val="0"/>
        <w:autoSpaceDN w:val="0"/>
        <w:adjustRightInd w:val="0"/>
        <w:spacing w:line="480" w:lineRule="auto"/>
        <w:rPr>
          <w:rFonts w:ascii="Times New Roman" w:hAnsi="Times New Roman"/>
          <w:i/>
        </w:rPr>
      </w:pPr>
      <w:r w:rsidRPr="00B46437">
        <w:rPr>
          <w:rFonts w:ascii="Times New Roman" w:hAnsi="Times New Roman"/>
          <w:i/>
        </w:rPr>
        <w:t xml:space="preserve">Concentration curve </w:t>
      </w:r>
    </w:p>
    <w:p w14:paraId="2208D4AF" w14:textId="77777777" w:rsidR="002A2461" w:rsidRPr="00B46437" w:rsidRDefault="002A2461" w:rsidP="000A5130">
      <w:pPr>
        <w:widowControl w:val="0"/>
        <w:autoSpaceDE w:val="0"/>
        <w:autoSpaceDN w:val="0"/>
        <w:adjustRightInd w:val="0"/>
        <w:spacing w:line="480" w:lineRule="auto"/>
        <w:rPr>
          <w:rFonts w:ascii="Times New Roman" w:hAnsi="Times New Roman"/>
        </w:rPr>
      </w:pPr>
      <w:r w:rsidRPr="00B46437">
        <w:rPr>
          <w:rFonts w:ascii="Times New Roman" w:hAnsi="Times New Roman"/>
        </w:rPr>
        <w:t xml:space="preserve">The concentration curve was drawn to display the degree of inequality by plotting the cumulative proportion of catastrophic health payments on the Y-axis against the cumulative proportion of population on the X-axis ranked from poorest to richest. The line of equality or the 45-degree line means an equitable distribution of catastrophic health payments among the study population irrespective of household socio-economic status. If the concentration curve lies above the line of equality, it indicates the poor population experienced more financial catastrophe compared to the rich population. If the concentration curve lies below the line of equality, it indicates the rich faced more financial catastrophe. The distance between any concentration curve and the line of equality indicates the degree of inequality, with the above (below) concentration curve showing the most pro-poor (pro-rich) distribution. </w:t>
      </w:r>
    </w:p>
    <w:p w14:paraId="47D4056E" w14:textId="77777777" w:rsidR="002A2461" w:rsidRPr="00B46437" w:rsidRDefault="002A2461" w:rsidP="000A5130">
      <w:pPr>
        <w:widowControl w:val="0"/>
        <w:autoSpaceDE w:val="0"/>
        <w:autoSpaceDN w:val="0"/>
        <w:adjustRightInd w:val="0"/>
        <w:spacing w:line="480" w:lineRule="auto"/>
        <w:rPr>
          <w:rFonts w:ascii="Times New Roman" w:hAnsi="Times New Roman"/>
        </w:rPr>
      </w:pPr>
      <w:r w:rsidRPr="00B46437">
        <w:rPr>
          <w:rFonts w:ascii="Times New Roman" w:hAnsi="Times New Roman"/>
          <w:i/>
        </w:rPr>
        <w:t>Concentration index</w:t>
      </w:r>
    </w:p>
    <w:p w14:paraId="2BE12E38" w14:textId="65C2E915" w:rsidR="002A2461" w:rsidRPr="00B46437" w:rsidRDefault="002A2461" w:rsidP="000A5130">
      <w:pPr>
        <w:widowControl w:val="0"/>
        <w:autoSpaceDE w:val="0"/>
        <w:autoSpaceDN w:val="0"/>
        <w:adjustRightInd w:val="0"/>
        <w:spacing w:line="480" w:lineRule="auto"/>
        <w:rPr>
          <w:rFonts w:ascii="Times New Roman" w:hAnsi="Times New Roman"/>
        </w:rPr>
      </w:pPr>
      <w:r w:rsidRPr="00B46437">
        <w:rPr>
          <w:rFonts w:ascii="Times New Roman" w:hAnsi="Times New Roman"/>
        </w:rPr>
        <w:t>The concentration index indicates the magnitude of inequality.</w:t>
      </w:r>
      <w:r w:rsidR="005467A4">
        <w:rPr>
          <w:rFonts w:ascii="Times New Roman" w:hAnsi="Times New Roman"/>
          <w:noProof/>
        </w:rPr>
        <w:t>[</w:t>
      </w:r>
      <w:r>
        <w:rPr>
          <w:rFonts w:ascii="Times New Roman" w:hAnsi="Times New Roman"/>
          <w:noProof/>
        </w:rPr>
        <w:t>5, 6</w:t>
      </w:r>
      <w:r w:rsidR="005467A4">
        <w:rPr>
          <w:rFonts w:ascii="Times New Roman" w:hAnsi="Times New Roman"/>
          <w:noProof/>
        </w:rPr>
        <w:t>]</w:t>
      </w:r>
      <w:r w:rsidRPr="00B46437">
        <w:rPr>
          <w:rFonts w:ascii="Times New Roman" w:hAnsi="Times New Roman"/>
        </w:rPr>
        <w:t xml:space="preserve"> This index is directly related to the concentration curve and is defined as the area between the concentration curve and the 45-degree line (line of equality). We estimated the concentration index for survey years, chronic, recent acute illness or injury to determine magnitude of catastrophic health payment. This index indicates the extent to which the incidence of catastrophic health expenditure is concentrated among the disadvantaged or the advantaged. The concentration index gives a value ranging from  -1 to 1. When the concentration index value is 0 there is no inequality i.e. catastrophic health expenditure makes no difference among the poor and rich population. A negative value indicates relatively higher catastrophic health expenditure among the poor. A positive value of the index indicates comparatively higher catastrophic health expenditure among the wealthy population. </w:t>
      </w:r>
    </w:p>
    <w:p w14:paraId="3D57EF6C" w14:textId="77777777" w:rsidR="003236A1" w:rsidRDefault="003236A1" w:rsidP="000A5130">
      <w:pPr>
        <w:rPr>
          <w:rFonts w:ascii="Times New Roman" w:hAnsi="Times New Roman"/>
          <w:b/>
        </w:rPr>
      </w:pPr>
    </w:p>
    <w:p w14:paraId="001A7091" w14:textId="77777777" w:rsidR="003236A1" w:rsidRDefault="003236A1" w:rsidP="003236A1">
      <w:pPr>
        <w:spacing w:line="480" w:lineRule="auto"/>
        <w:rPr>
          <w:rFonts w:ascii="Times New Roman" w:hAnsi="Times New Roman"/>
          <w:b/>
        </w:rPr>
      </w:pPr>
      <w:r>
        <w:rPr>
          <w:rFonts w:ascii="Times New Roman" w:hAnsi="Times New Roman"/>
          <w:b/>
        </w:rPr>
        <w:t xml:space="preserve">Programming code for Bayesian model </w:t>
      </w:r>
    </w:p>
    <w:p w14:paraId="3ADAEDBF" w14:textId="77777777" w:rsidR="003236A1" w:rsidRDefault="003236A1" w:rsidP="003236A1">
      <w:pPr>
        <w:spacing w:line="480" w:lineRule="auto"/>
        <w:rPr>
          <w:rFonts w:ascii="Times New Roman" w:hAnsi="Times New Roman"/>
          <w:i/>
        </w:rPr>
      </w:pPr>
      <w:r w:rsidRPr="000A5130">
        <w:rPr>
          <w:rFonts w:ascii="Times New Roman" w:hAnsi="Times New Roman"/>
          <w:i/>
        </w:rPr>
        <w:t>Two-stage Bayesian hurdle model to estimate the average OOP health expenditure (chronic illnesses)</w:t>
      </w:r>
    </w:p>
    <w:p w14:paraId="78279676" w14:textId="77777777" w:rsidR="003236A1" w:rsidRPr="003236A1" w:rsidRDefault="003236A1" w:rsidP="003236A1">
      <w:pPr>
        <w:rPr>
          <w:rFonts w:ascii="Times New Roman" w:hAnsi="Times New Roman"/>
        </w:rPr>
      </w:pPr>
      <w:r w:rsidRPr="003236A1">
        <w:rPr>
          <w:rFonts w:ascii="Times New Roman" w:hAnsi="Times New Roman"/>
        </w:rPr>
        <w:t xml:space="preserve">## Data loading </w:t>
      </w:r>
    </w:p>
    <w:p w14:paraId="21C42B20" w14:textId="77777777" w:rsidR="003236A1" w:rsidRPr="003236A1" w:rsidRDefault="003236A1" w:rsidP="003236A1">
      <w:pPr>
        <w:rPr>
          <w:rFonts w:ascii="Times New Roman" w:hAnsi="Times New Roman"/>
        </w:rPr>
      </w:pPr>
      <w:r w:rsidRPr="003236A1">
        <w:rPr>
          <w:rFonts w:ascii="Times New Roman" w:hAnsi="Times New Roman"/>
        </w:rPr>
        <w:t>setwd("/bayes/baydata")</w:t>
      </w:r>
    </w:p>
    <w:p w14:paraId="7DB720A5" w14:textId="77777777" w:rsidR="003236A1" w:rsidRPr="003236A1" w:rsidRDefault="003236A1" w:rsidP="003236A1">
      <w:pPr>
        <w:rPr>
          <w:rFonts w:ascii="Times New Roman" w:hAnsi="Times New Roman"/>
        </w:rPr>
      </w:pPr>
      <w:r w:rsidRPr="003236A1">
        <w:rPr>
          <w:rFonts w:ascii="Times New Roman" w:hAnsi="Times New Roman"/>
        </w:rPr>
        <w:t>disnp&lt;-read.table("nepal1996-2.csv",header=TRUE, sep=",")</w:t>
      </w:r>
    </w:p>
    <w:p w14:paraId="756C58B8" w14:textId="77777777" w:rsidR="003236A1" w:rsidRPr="003236A1" w:rsidRDefault="003236A1" w:rsidP="003236A1">
      <w:pPr>
        <w:rPr>
          <w:rFonts w:ascii="Times New Roman" w:hAnsi="Times New Roman"/>
        </w:rPr>
      </w:pPr>
    </w:p>
    <w:p w14:paraId="58947192" w14:textId="77777777" w:rsidR="003236A1" w:rsidRPr="003236A1" w:rsidRDefault="003236A1" w:rsidP="003236A1">
      <w:pPr>
        <w:rPr>
          <w:rFonts w:ascii="Times New Roman" w:hAnsi="Times New Roman"/>
        </w:rPr>
      </w:pPr>
      <w:r w:rsidRPr="003236A1">
        <w:rPr>
          <w:rFonts w:ascii="Times New Roman" w:hAnsi="Times New Roman"/>
        </w:rPr>
        <w:t>##Keeping ng (Keeping) Variables</w:t>
      </w:r>
    </w:p>
    <w:p w14:paraId="51D5C914" w14:textId="77777777" w:rsidR="003236A1" w:rsidRPr="003236A1" w:rsidRDefault="003236A1" w:rsidP="003236A1">
      <w:pPr>
        <w:rPr>
          <w:rFonts w:ascii="Times New Roman" w:hAnsi="Times New Roman"/>
        </w:rPr>
      </w:pPr>
      <w:r w:rsidRPr="003236A1">
        <w:rPr>
          <w:rFonts w:ascii="Times New Roman" w:hAnsi="Times New Roman"/>
        </w:rPr>
        <w:t>myvars&lt;- c("psu", "disname", "discost","lnOOP", "coevent",  "chronic1",</w:t>
      </w:r>
    </w:p>
    <w:p w14:paraId="118FD258" w14:textId="77777777" w:rsidR="003236A1" w:rsidRPr="003236A1" w:rsidRDefault="003236A1" w:rsidP="003236A1">
      <w:pPr>
        <w:rPr>
          <w:rFonts w:ascii="Times New Roman" w:hAnsi="Times New Roman"/>
        </w:rPr>
      </w:pPr>
      <w:r w:rsidRPr="003236A1">
        <w:rPr>
          <w:rFonts w:ascii="Times New Roman" w:hAnsi="Times New Roman"/>
        </w:rPr>
        <w:t xml:space="preserve">           "age","sex","totalconsum", "resd", "hhid")</w:t>
      </w:r>
    </w:p>
    <w:p w14:paraId="558537C9" w14:textId="77777777" w:rsidR="003236A1" w:rsidRPr="003236A1" w:rsidRDefault="003236A1" w:rsidP="003236A1">
      <w:pPr>
        <w:rPr>
          <w:rFonts w:ascii="Times New Roman" w:hAnsi="Times New Roman"/>
        </w:rPr>
      </w:pPr>
      <w:r w:rsidRPr="003236A1">
        <w:rPr>
          <w:rFonts w:ascii="Times New Roman" w:hAnsi="Times New Roman"/>
        </w:rPr>
        <w:t>chronicdata &lt;- disnp[myvars]</w:t>
      </w:r>
    </w:p>
    <w:p w14:paraId="72B9EE3C" w14:textId="77777777" w:rsidR="003236A1" w:rsidRPr="003236A1" w:rsidRDefault="003236A1" w:rsidP="003236A1">
      <w:pPr>
        <w:rPr>
          <w:rFonts w:ascii="Times New Roman" w:hAnsi="Times New Roman"/>
        </w:rPr>
      </w:pPr>
    </w:p>
    <w:p w14:paraId="61F57A4B" w14:textId="77777777" w:rsidR="003236A1" w:rsidRPr="003236A1" w:rsidRDefault="003236A1" w:rsidP="003236A1">
      <w:pPr>
        <w:rPr>
          <w:rFonts w:ascii="Times New Roman" w:hAnsi="Times New Roman"/>
        </w:rPr>
      </w:pPr>
      <w:r w:rsidRPr="003236A1">
        <w:rPr>
          <w:rFonts w:ascii="Times New Roman" w:hAnsi="Times New Roman"/>
        </w:rPr>
        <w:t>##Selecting Observations based on variable values</w:t>
      </w:r>
    </w:p>
    <w:p w14:paraId="21616AE3" w14:textId="77777777" w:rsidR="003236A1" w:rsidRPr="003236A1" w:rsidRDefault="003236A1" w:rsidP="003236A1">
      <w:pPr>
        <w:rPr>
          <w:rFonts w:ascii="Times New Roman" w:hAnsi="Times New Roman"/>
        </w:rPr>
      </w:pPr>
      <w:r w:rsidRPr="003236A1">
        <w:rPr>
          <w:rFonts w:ascii="Times New Roman" w:hAnsi="Times New Roman"/>
        </w:rPr>
        <w:t>chronicdata &lt;- chronicdata[which(chronicdata$chronic==1),]</w:t>
      </w:r>
    </w:p>
    <w:p w14:paraId="314E3F90" w14:textId="77777777" w:rsidR="003236A1" w:rsidRPr="003236A1" w:rsidRDefault="003236A1" w:rsidP="003236A1">
      <w:pPr>
        <w:rPr>
          <w:rFonts w:ascii="Times New Roman" w:hAnsi="Times New Roman"/>
        </w:rPr>
      </w:pPr>
    </w:p>
    <w:p w14:paraId="21E93A86" w14:textId="77777777" w:rsidR="003236A1" w:rsidRPr="003236A1" w:rsidRDefault="003236A1" w:rsidP="003236A1">
      <w:pPr>
        <w:rPr>
          <w:rFonts w:ascii="Times New Roman" w:hAnsi="Times New Roman"/>
        </w:rPr>
      </w:pPr>
      <w:r w:rsidRPr="003236A1">
        <w:rPr>
          <w:rFonts w:ascii="Times New Roman" w:hAnsi="Times New Roman"/>
        </w:rPr>
        <w:t>attach(chronicdata)</w:t>
      </w:r>
    </w:p>
    <w:p w14:paraId="0B76FDE6" w14:textId="77777777" w:rsidR="003236A1" w:rsidRPr="003236A1" w:rsidRDefault="003236A1" w:rsidP="003236A1">
      <w:pPr>
        <w:rPr>
          <w:rFonts w:ascii="Times New Roman" w:hAnsi="Times New Roman"/>
        </w:rPr>
      </w:pPr>
    </w:p>
    <w:p w14:paraId="6EF72483" w14:textId="77777777" w:rsidR="003236A1" w:rsidRPr="003236A1" w:rsidRDefault="003236A1" w:rsidP="003236A1">
      <w:pPr>
        <w:rPr>
          <w:rFonts w:ascii="Times New Roman" w:hAnsi="Times New Roman"/>
        </w:rPr>
      </w:pPr>
    </w:p>
    <w:p w14:paraId="1A40AC21" w14:textId="77777777" w:rsidR="003236A1" w:rsidRPr="003236A1" w:rsidRDefault="003236A1" w:rsidP="003236A1">
      <w:pPr>
        <w:rPr>
          <w:rFonts w:ascii="Times New Roman" w:hAnsi="Times New Roman"/>
        </w:rPr>
      </w:pPr>
      <w:r w:rsidRPr="003236A1">
        <w:rPr>
          <w:rFonts w:ascii="Times New Roman" w:hAnsi="Times New Roman"/>
        </w:rPr>
        <w:t>## Mean lncost</w:t>
      </w:r>
    </w:p>
    <w:p w14:paraId="3E182F40" w14:textId="77777777" w:rsidR="003236A1" w:rsidRPr="003236A1" w:rsidRDefault="003236A1" w:rsidP="003236A1">
      <w:pPr>
        <w:rPr>
          <w:rFonts w:ascii="Times New Roman" w:hAnsi="Times New Roman"/>
        </w:rPr>
      </w:pPr>
      <w:r w:rsidRPr="003236A1">
        <w:rPr>
          <w:rFonts w:ascii="Times New Roman" w:hAnsi="Times New Roman"/>
        </w:rPr>
        <w:t>mean(lnOOP)</w:t>
      </w:r>
    </w:p>
    <w:p w14:paraId="40D98C1B" w14:textId="77777777" w:rsidR="003236A1" w:rsidRPr="003236A1" w:rsidRDefault="003236A1" w:rsidP="003236A1">
      <w:pPr>
        <w:rPr>
          <w:rFonts w:ascii="Times New Roman" w:hAnsi="Times New Roman"/>
        </w:rPr>
      </w:pPr>
    </w:p>
    <w:p w14:paraId="74E0CA30" w14:textId="77777777" w:rsidR="003236A1" w:rsidRPr="003236A1" w:rsidRDefault="003236A1" w:rsidP="003236A1">
      <w:pPr>
        <w:rPr>
          <w:rFonts w:ascii="Times New Roman" w:hAnsi="Times New Roman"/>
        </w:rPr>
      </w:pPr>
      <w:r w:rsidRPr="003236A1">
        <w:rPr>
          <w:rFonts w:ascii="Times New Roman" w:hAnsi="Times New Roman"/>
        </w:rPr>
        <w:t>## Tabulation for zero or non-zero cost</w:t>
      </w:r>
    </w:p>
    <w:p w14:paraId="6EB9803B" w14:textId="77777777" w:rsidR="003236A1" w:rsidRPr="003236A1" w:rsidRDefault="003236A1" w:rsidP="003236A1">
      <w:pPr>
        <w:rPr>
          <w:rFonts w:ascii="Times New Roman" w:hAnsi="Times New Roman"/>
        </w:rPr>
      </w:pPr>
      <w:r w:rsidRPr="003236A1">
        <w:rPr>
          <w:rFonts w:ascii="Times New Roman" w:hAnsi="Times New Roman"/>
        </w:rPr>
        <w:t>table(coevent) #shw frequency</w:t>
      </w:r>
    </w:p>
    <w:p w14:paraId="5D794DBE" w14:textId="77777777" w:rsidR="003236A1" w:rsidRPr="003236A1" w:rsidRDefault="003236A1" w:rsidP="003236A1">
      <w:pPr>
        <w:rPr>
          <w:rFonts w:ascii="Times New Roman" w:hAnsi="Times New Roman"/>
        </w:rPr>
      </w:pPr>
      <w:r w:rsidRPr="003236A1">
        <w:rPr>
          <w:rFonts w:ascii="Times New Roman" w:hAnsi="Times New Roman"/>
        </w:rPr>
        <w:t>prop.table(table(coevent))   #show percent</w:t>
      </w:r>
    </w:p>
    <w:p w14:paraId="11A86B09" w14:textId="77777777" w:rsidR="003236A1" w:rsidRPr="003236A1" w:rsidRDefault="003236A1" w:rsidP="003236A1">
      <w:pPr>
        <w:rPr>
          <w:rFonts w:ascii="Times New Roman" w:hAnsi="Times New Roman"/>
        </w:rPr>
      </w:pPr>
    </w:p>
    <w:p w14:paraId="051EF929" w14:textId="77777777" w:rsidR="003236A1" w:rsidRPr="003236A1" w:rsidRDefault="003236A1" w:rsidP="003236A1">
      <w:pPr>
        <w:rPr>
          <w:rFonts w:ascii="Times New Roman" w:hAnsi="Times New Roman"/>
        </w:rPr>
      </w:pPr>
      <w:r w:rsidRPr="003236A1">
        <w:rPr>
          <w:rFonts w:ascii="Times New Roman" w:hAnsi="Times New Roman"/>
        </w:rPr>
        <w:t>## Bayesian Two-stage(Hurdle) model</w:t>
      </w:r>
    </w:p>
    <w:p w14:paraId="104958EA" w14:textId="77777777" w:rsidR="003236A1" w:rsidRPr="003236A1" w:rsidRDefault="003236A1" w:rsidP="003236A1">
      <w:pPr>
        <w:rPr>
          <w:rFonts w:ascii="Times New Roman" w:hAnsi="Times New Roman"/>
        </w:rPr>
      </w:pPr>
    </w:p>
    <w:p w14:paraId="68E4B344" w14:textId="77777777" w:rsidR="003236A1" w:rsidRPr="003236A1" w:rsidRDefault="003236A1" w:rsidP="003236A1">
      <w:pPr>
        <w:rPr>
          <w:rFonts w:ascii="Times New Roman" w:hAnsi="Times New Roman"/>
        </w:rPr>
      </w:pPr>
      <w:r w:rsidRPr="003236A1">
        <w:rPr>
          <w:rFonts w:ascii="Times New Roman" w:hAnsi="Times New Roman"/>
        </w:rPr>
        <w:t>bugmodelchronic&lt;-"model {</w:t>
      </w:r>
    </w:p>
    <w:p w14:paraId="28BE22A1" w14:textId="77777777" w:rsidR="003236A1" w:rsidRPr="003236A1" w:rsidRDefault="003236A1" w:rsidP="003236A1">
      <w:pPr>
        <w:rPr>
          <w:rFonts w:ascii="Times New Roman" w:hAnsi="Times New Roman"/>
        </w:rPr>
      </w:pPr>
    </w:p>
    <w:p w14:paraId="214335AF" w14:textId="77777777" w:rsidR="003236A1" w:rsidRPr="003236A1" w:rsidRDefault="003236A1" w:rsidP="003236A1">
      <w:pPr>
        <w:rPr>
          <w:rFonts w:ascii="Times New Roman" w:hAnsi="Times New Roman"/>
        </w:rPr>
      </w:pPr>
      <w:r w:rsidRPr="003236A1">
        <w:rPr>
          <w:rFonts w:ascii="Times New Roman" w:hAnsi="Times New Roman"/>
        </w:rPr>
        <w:t>## Logistic model part</w:t>
      </w:r>
    </w:p>
    <w:p w14:paraId="2A6F4115" w14:textId="77777777" w:rsidR="003236A1" w:rsidRPr="003236A1" w:rsidRDefault="003236A1" w:rsidP="003236A1">
      <w:pPr>
        <w:rPr>
          <w:rFonts w:ascii="Times New Roman" w:hAnsi="Times New Roman"/>
        </w:rPr>
      </w:pPr>
      <w:r w:rsidRPr="003236A1">
        <w:rPr>
          <w:rFonts w:ascii="Times New Roman" w:hAnsi="Times New Roman"/>
        </w:rPr>
        <w:t>for (i in 1:n) {</w:t>
      </w:r>
    </w:p>
    <w:p w14:paraId="0920998D" w14:textId="77777777" w:rsidR="003236A1" w:rsidRPr="003236A1" w:rsidRDefault="003236A1" w:rsidP="003236A1">
      <w:pPr>
        <w:rPr>
          <w:rFonts w:ascii="Times New Roman" w:hAnsi="Times New Roman"/>
        </w:rPr>
      </w:pPr>
      <w:r w:rsidRPr="003236A1">
        <w:rPr>
          <w:rFonts w:ascii="Times New Roman" w:hAnsi="Times New Roman"/>
        </w:rPr>
        <w:t xml:space="preserve">coevent[i] ~ dbern(p[i]) </w:t>
      </w:r>
    </w:p>
    <w:p w14:paraId="42AF5E4F" w14:textId="77777777" w:rsidR="003236A1" w:rsidRPr="003236A1" w:rsidRDefault="003236A1" w:rsidP="003236A1">
      <w:pPr>
        <w:rPr>
          <w:rFonts w:ascii="Times New Roman" w:hAnsi="Times New Roman"/>
        </w:rPr>
      </w:pPr>
      <w:r w:rsidRPr="003236A1">
        <w:rPr>
          <w:rFonts w:ascii="Times New Roman" w:hAnsi="Times New Roman"/>
        </w:rPr>
        <w:t xml:space="preserve">logit(p[i])&lt;-beta </w:t>
      </w:r>
    </w:p>
    <w:p w14:paraId="5CC1DD5B" w14:textId="77777777" w:rsidR="003236A1" w:rsidRPr="003236A1" w:rsidRDefault="003236A1" w:rsidP="003236A1">
      <w:pPr>
        <w:rPr>
          <w:rFonts w:ascii="Times New Roman" w:hAnsi="Times New Roman"/>
        </w:rPr>
      </w:pPr>
    </w:p>
    <w:p w14:paraId="1455D20A" w14:textId="77777777" w:rsidR="003236A1" w:rsidRPr="003236A1" w:rsidRDefault="003236A1" w:rsidP="003236A1">
      <w:pPr>
        <w:rPr>
          <w:rFonts w:ascii="Times New Roman" w:hAnsi="Times New Roman"/>
        </w:rPr>
      </w:pPr>
      <w:r w:rsidRPr="003236A1">
        <w:rPr>
          <w:rFonts w:ascii="Times New Roman" w:hAnsi="Times New Roman"/>
        </w:rPr>
        <w:t>}</w:t>
      </w:r>
    </w:p>
    <w:p w14:paraId="3B678547" w14:textId="77777777" w:rsidR="003236A1" w:rsidRPr="003236A1" w:rsidRDefault="003236A1" w:rsidP="003236A1">
      <w:pPr>
        <w:rPr>
          <w:rFonts w:ascii="Times New Roman" w:hAnsi="Times New Roman"/>
        </w:rPr>
      </w:pPr>
    </w:p>
    <w:p w14:paraId="0D70BEC0" w14:textId="77777777" w:rsidR="003236A1" w:rsidRPr="003236A1" w:rsidRDefault="003236A1" w:rsidP="003236A1">
      <w:pPr>
        <w:rPr>
          <w:rFonts w:ascii="Times New Roman" w:hAnsi="Times New Roman"/>
        </w:rPr>
      </w:pPr>
      <w:r w:rsidRPr="003236A1">
        <w:rPr>
          <w:rFonts w:ascii="Times New Roman" w:hAnsi="Times New Roman"/>
        </w:rPr>
        <w:t xml:space="preserve">## Prior </w:t>
      </w:r>
    </w:p>
    <w:p w14:paraId="395289F1" w14:textId="77777777" w:rsidR="003236A1" w:rsidRPr="003236A1" w:rsidRDefault="003236A1" w:rsidP="003236A1">
      <w:pPr>
        <w:rPr>
          <w:rFonts w:ascii="Times New Roman" w:hAnsi="Times New Roman"/>
        </w:rPr>
      </w:pPr>
      <w:r w:rsidRPr="003236A1">
        <w:rPr>
          <w:rFonts w:ascii="Times New Roman" w:hAnsi="Times New Roman"/>
        </w:rPr>
        <w:t xml:space="preserve">beta~dnorm(0,1.0E-10)     </w:t>
      </w:r>
    </w:p>
    <w:p w14:paraId="2E82B340" w14:textId="77777777" w:rsidR="003236A1" w:rsidRPr="003236A1" w:rsidRDefault="003236A1" w:rsidP="003236A1">
      <w:pPr>
        <w:rPr>
          <w:rFonts w:ascii="Times New Roman" w:hAnsi="Times New Roman"/>
        </w:rPr>
      </w:pPr>
    </w:p>
    <w:p w14:paraId="672369C7" w14:textId="77777777" w:rsidR="003236A1" w:rsidRPr="003236A1" w:rsidRDefault="003236A1" w:rsidP="003236A1">
      <w:pPr>
        <w:rPr>
          <w:rFonts w:ascii="Times New Roman" w:hAnsi="Times New Roman"/>
        </w:rPr>
      </w:pPr>
    </w:p>
    <w:p w14:paraId="549DD4BA" w14:textId="77777777" w:rsidR="003236A1" w:rsidRPr="003236A1" w:rsidRDefault="003236A1" w:rsidP="003236A1">
      <w:pPr>
        <w:rPr>
          <w:rFonts w:ascii="Times New Roman" w:hAnsi="Times New Roman"/>
        </w:rPr>
      </w:pPr>
      <w:r w:rsidRPr="003236A1">
        <w:rPr>
          <w:rFonts w:ascii="Times New Roman" w:hAnsi="Times New Roman"/>
        </w:rPr>
        <w:t>## Linear regression part</w:t>
      </w:r>
    </w:p>
    <w:p w14:paraId="45F6D0D1" w14:textId="77777777" w:rsidR="003236A1" w:rsidRPr="003236A1" w:rsidRDefault="003236A1" w:rsidP="003236A1">
      <w:pPr>
        <w:rPr>
          <w:rFonts w:ascii="Times New Roman" w:hAnsi="Times New Roman"/>
        </w:rPr>
      </w:pPr>
      <w:r w:rsidRPr="003236A1">
        <w:rPr>
          <w:rFonts w:ascii="Times New Roman" w:hAnsi="Times New Roman"/>
        </w:rPr>
        <w:t>for (i in 1:m){</w:t>
      </w:r>
    </w:p>
    <w:p w14:paraId="28B5B553" w14:textId="77777777" w:rsidR="003236A1" w:rsidRPr="003236A1" w:rsidRDefault="003236A1" w:rsidP="003236A1">
      <w:pPr>
        <w:rPr>
          <w:rFonts w:ascii="Times New Roman" w:hAnsi="Times New Roman"/>
        </w:rPr>
      </w:pPr>
      <w:r w:rsidRPr="003236A1">
        <w:rPr>
          <w:rFonts w:ascii="Times New Roman" w:hAnsi="Times New Roman"/>
        </w:rPr>
        <w:t>lnOOP[i]~dnorm(mu[i],tau)</w:t>
      </w:r>
    </w:p>
    <w:p w14:paraId="5DF9EAFF" w14:textId="77777777" w:rsidR="003236A1" w:rsidRPr="003236A1" w:rsidRDefault="003236A1" w:rsidP="003236A1">
      <w:pPr>
        <w:rPr>
          <w:rFonts w:ascii="Times New Roman" w:hAnsi="Times New Roman"/>
        </w:rPr>
      </w:pPr>
      <w:r w:rsidRPr="003236A1">
        <w:rPr>
          <w:rFonts w:ascii="Times New Roman" w:hAnsi="Times New Roman"/>
        </w:rPr>
        <w:t>mu[i]&lt;-alpha</w:t>
      </w:r>
    </w:p>
    <w:p w14:paraId="57B91B2B" w14:textId="77777777" w:rsidR="003236A1" w:rsidRPr="003236A1" w:rsidRDefault="003236A1" w:rsidP="003236A1">
      <w:pPr>
        <w:rPr>
          <w:rFonts w:ascii="Times New Roman" w:hAnsi="Times New Roman"/>
        </w:rPr>
      </w:pPr>
    </w:p>
    <w:p w14:paraId="735414FD" w14:textId="77777777" w:rsidR="003236A1" w:rsidRPr="003236A1" w:rsidRDefault="003236A1" w:rsidP="003236A1">
      <w:pPr>
        <w:rPr>
          <w:rFonts w:ascii="Times New Roman" w:hAnsi="Times New Roman"/>
        </w:rPr>
      </w:pPr>
      <w:r w:rsidRPr="003236A1">
        <w:rPr>
          <w:rFonts w:ascii="Times New Roman" w:hAnsi="Times New Roman"/>
        </w:rPr>
        <w:t xml:space="preserve">resid[i] &lt;-lnOOP[i]-mu[i]    </w:t>
      </w:r>
    </w:p>
    <w:p w14:paraId="7BB61BFA" w14:textId="77777777" w:rsidR="003236A1" w:rsidRPr="003236A1" w:rsidRDefault="003236A1" w:rsidP="003236A1">
      <w:pPr>
        <w:rPr>
          <w:rFonts w:ascii="Times New Roman" w:hAnsi="Times New Roman"/>
        </w:rPr>
      </w:pPr>
      <w:r w:rsidRPr="003236A1">
        <w:rPr>
          <w:rFonts w:ascii="Times New Roman" w:hAnsi="Times New Roman"/>
        </w:rPr>
        <w:t>e.resid[i] &lt;- exp(resid[i])  # Calculation of residuals</w:t>
      </w:r>
    </w:p>
    <w:p w14:paraId="145C3F95" w14:textId="77777777" w:rsidR="003236A1" w:rsidRPr="003236A1" w:rsidRDefault="003236A1" w:rsidP="003236A1">
      <w:pPr>
        <w:rPr>
          <w:rFonts w:ascii="Times New Roman" w:hAnsi="Times New Roman"/>
        </w:rPr>
      </w:pPr>
      <w:r w:rsidRPr="003236A1">
        <w:rPr>
          <w:rFonts w:ascii="Times New Roman" w:hAnsi="Times New Roman"/>
        </w:rPr>
        <w:t xml:space="preserve">}  </w:t>
      </w:r>
    </w:p>
    <w:p w14:paraId="31FFF10D" w14:textId="77777777" w:rsidR="003236A1" w:rsidRPr="003236A1" w:rsidRDefault="003236A1" w:rsidP="003236A1">
      <w:pPr>
        <w:rPr>
          <w:rFonts w:ascii="Times New Roman" w:hAnsi="Times New Roman"/>
        </w:rPr>
      </w:pPr>
    </w:p>
    <w:p w14:paraId="42CF42DC" w14:textId="77777777" w:rsidR="003236A1" w:rsidRPr="003236A1" w:rsidRDefault="003236A1" w:rsidP="003236A1">
      <w:pPr>
        <w:rPr>
          <w:rFonts w:ascii="Times New Roman" w:hAnsi="Times New Roman"/>
        </w:rPr>
      </w:pPr>
      <w:r w:rsidRPr="003236A1">
        <w:rPr>
          <w:rFonts w:ascii="Times New Roman" w:hAnsi="Times New Roman"/>
        </w:rPr>
        <w:t xml:space="preserve">## Prior </w:t>
      </w:r>
    </w:p>
    <w:p w14:paraId="2444C22C" w14:textId="77777777" w:rsidR="003236A1" w:rsidRPr="003236A1" w:rsidRDefault="003236A1" w:rsidP="003236A1">
      <w:pPr>
        <w:rPr>
          <w:rFonts w:ascii="Times New Roman" w:hAnsi="Times New Roman"/>
        </w:rPr>
      </w:pPr>
      <w:r w:rsidRPr="003236A1">
        <w:rPr>
          <w:rFonts w:ascii="Times New Roman" w:hAnsi="Times New Roman"/>
        </w:rPr>
        <w:t xml:space="preserve">alpha~dnorm(0,1.0E-6)     </w:t>
      </w:r>
    </w:p>
    <w:p w14:paraId="7CD9DA10" w14:textId="77777777" w:rsidR="003236A1" w:rsidRPr="003236A1" w:rsidRDefault="003236A1" w:rsidP="003236A1">
      <w:pPr>
        <w:rPr>
          <w:rFonts w:ascii="Times New Roman" w:hAnsi="Times New Roman"/>
        </w:rPr>
      </w:pPr>
      <w:r w:rsidRPr="003236A1">
        <w:rPr>
          <w:rFonts w:ascii="Times New Roman" w:hAnsi="Times New Roman"/>
        </w:rPr>
        <w:t>tau ~ dgamma(0.001,0.001)</w:t>
      </w:r>
    </w:p>
    <w:p w14:paraId="4C8F8DF9" w14:textId="77777777" w:rsidR="003236A1" w:rsidRPr="003236A1" w:rsidRDefault="003236A1" w:rsidP="003236A1">
      <w:pPr>
        <w:rPr>
          <w:rFonts w:ascii="Times New Roman" w:hAnsi="Times New Roman"/>
        </w:rPr>
      </w:pPr>
      <w:r w:rsidRPr="003236A1">
        <w:rPr>
          <w:rFonts w:ascii="Times New Roman" w:hAnsi="Times New Roman"/>
        </w:rPr>
        <w:t>S &lt;- sum(e.resid[])/m       # Calculation of smearing coefficients</w:t>
      </w:r>
    </w:p>
    <w:p w14:paraId="3A467488" w14:textId="77777777" w:rsidR="003236A1" w:rsidRPr="003236A1" w:rsidRDefault="003236A1" w:rsidP="003236A1">
      <w:pPr>
        <w:rPr>
          <w:rFonts w:ascii="Times New Roman" w:hAnsi="Times New Roman"/>
        </w:rPr>
      </w:pPr>
    </w:p>
    <w:p w14:paraId="3BF14E89" w14:textId="77777777" w:rsidR="003236A1" w:rsidRPr="003236A1" w:rsidRDefault="003236A1" w:rsidP="003236A1">
      <w:pPr>
        <w:rPr>
          <w:rFonts w:ascii="Times New Roman" w:hAnsi="Times New Roman"/>
        </w:rPr>
      </w:pPr>
      <w:r w:rsidRPr="003236A1">
        <w:rPr>
          <w:rFonts w:ascii="Times New Roman" w:hAnsi="Times New Roman"/>
        </w:rPr>
        <w:t xml:space="preserve">## Predicting cost  </w:t>
      </w:r>
    </w:p>
    <w:p w14:paraId="335EC266" w14:textId="77777777" w:rsidR="003236A1" w:rsidRPr="003236A1" w:rsidRDefault="003236A1" w:rsidP="003236A1">
      <w:pPr>
        <w:rPr>
          <w:rFonts w:ascii="Times New Roman" w:hAnsi="Times New Roman"/>
        </w:rPr>
      </w:pPr>
      <w:r w:rsidRPr="003236A1">
        <w:rPr>
          <w:rFonts w:ascii="Times New Roman" w:hAnsi="Times New Roman"/>
        </w:rPr>
        <w:t>for (i in 1:n){</w:t>
      </w:r>
    </w:p>
    <w:p w14:paraId="55549AB8" w14:textId="77777777" w:rsidR="003236A1" w:rsidRPr="003236A1" w:rsidRDefault="003236A1" w:rsidP="003236A1">
      <w:pPr>
        <w:rPr>
          <w:rFonts w:ascii="Times New Roman" w:hAnsi="Times New Roman"/>
        </w:rPr>
      </w:pPr>
      <w:r w:rsidRPr="003236A1">
        <w:rPr>
          <w:rFonts w:ascii="Times New Roman" w:hAnsi="Times New Roman"/>
        </w:rPr>
        <w:t>cost.pred[i]&lt;-(exp(alpha)*S)*p[i]</w:t>
      </w:r>
    </w:p>
    <w:p w14:paraId="29C0729E" w14:textId="77777777" w:rsidR="003236A1" w:rsidRPr="003236A1" w:rsidRDefault="003236A1" w:rsidP="003236A1">
      <w:pPr>
        <w:rPr>
          <w:rFonts w:ascii="Times New Roman" w:hAnsi="Times New Roman"/>
        </w:rPr>
      </w:pPr>
      <w:r w:rsidRPr="003236A1">
        <w:rPr>
          <w:rFonts w:ascii="Times New Roman" w:hAnsi="Times New Roman"/>
        </w:rPr>
        <w:t>med.pred[i]&lt;-(exp(alpha))*p[i]</w:t>
      </w:r>
    </w:p>
    <w:p w14:paraId="56F9CED8" w14:textId="77777777" w:rsidR="003236A1" w:rsidRPr="003236A1" w:rsidRDefault="003236A1" w:rsidP="003236A1">
      <w:pPr>
        <w:rPr>
          <w:rFonts w:ascii="Times New Roman" w:hAnsi="Times New Roman"/>
        </w:rPr>
      </w:pPr>
      <w:r w:rsidRPr="003236A1">
        <w:rPr>
          <w:rFonts w:ascii="Times New Roman" w:hAnsi="Times New Roman"/>
        </w:rPr>
        <w:t>}</w:t>
      </w:r>
    </w:p>
    <w:p w14:paraId="48811E31" w14:textId="77777777" w:rsidR="003236A1" w:rsidRPr="003236A1" w:rsidRDefault="003236A1" w:rsidP="003236A1">
      <w:pPr>
        <w:rPr>
          <w:rFonts w:ascii="Times New Roman" w:hAnsi="Times New Roman"/>
        </w:rPr>
      </w:pPr>
    </w:p>
    <w:p w14:paraId="1C7022F5" w14:textId="77777777" w:rsidR="003236A1" w:rsidRPr="003236A1" w:rsidRDefault="003236A1" w:rsidP="003236A1">
      <w:pPr>
        <w:rPr>
          <w:rFonts w:ascii="Times New Roman" w:hAnsi="Times New Roman"/>
        </w:rPr>
      </w:pPr>
      <w:r w:rsidRPr="003236A1">
        <w:rPr>
          <w:rFonts w:ascii="Times New Roman" w:hAnsi="Times New Roman"/>
        </w:rPr>
        <w:t>## Overall mean and median cost</w:t>
      </w:r>
    </w:p>
    <w:p w14:paraId="14F9CCBA" w14:textId="77777777" w:rsidR="003236A1" w:rsidRPr="003236A1" w:rsidRDefault="003236A1" w:rsidP="003236A1">
      <w:pPr>
        <w:rPr>
          <w:rFonts w:ascii="Times New Roman" w:hAnsi="Times New Roman"/>
        </w:rPr>
      </w:pPr>
      <w:r w:rsidRPr="003236A1">
        <w:rPr>
          <w:rFonts w:ascii="Times New Roman" w:hAnsi="Times New Roman"/>
        </w:rPr>
        <w:t>post_mean &lt;- sum(cost.pred[])/n</w:t>
      </w:r>
    </w:p>
    <w:p w14:paraId="4E2FA621" w14:textId="77777777" w:rsidR="003236A1" w:rsidRPr="003236A1" w:rsidRDefault="003236A1" w:rsidP="003236A1">
      <w:pPr>
        <w:rPr>
          <w:rFonts w:ascii="Times New Roman" w:hAnsi="Times New Roman"/>
        </w:rPr>
      </w:pPr>
      <w:r w:rsidRPr="003236A1">
        <w:rPr>
          <w:rFonts w:ascii="Times New Roman" w:hAnsi="Times New Roman"/>
        </w:rPr>
        <w:t>post_med &lt;- sum(med.pred[])/n</w:t>
      </w:r>
    </w:p>
    <w:p w14:paraId="1505206D" w14:textId="77777777" w:rsidR="003236A1" w:rsidRPr="003236A1" w:rsidRDefault="003236A1" w:rsidP="003236A1">
      <w:pPr>
        <w:rPr>
          <w:rFonts w:ascii="Times New Roman" w:hAnsi="Times New Roman"/>
        </w:rPr>
      </w:pPr>
    </w:p>
    <w:p w14:paraId="00B9A050" w14:textId="77777777" w:rsidR="003236A1" w:rsidRPr="003236A1" w:rsidRDefault="003236A1" w:rsidP="003236A1">
      <w:pPr>
        <w:rPr>
          <w:rFonts w:ascii="Times New Roman" w:hAnsi="Times New Roman"/>
        </w:rPr>
      </w:pPr>
      <w:r w:rsidRPr="003236A1">
        <w:rPr>
          <w:rFonts w:ascii="Times New Roman" w:hAnsi="Times New Roman"/>
        </w:rPr>
        <w:t>}"</w:t>
      </w:r>
    </w:p>
    <w:p w14:paraId="6C47BEB4" w14:textId="77777777" w:rsidR="003236A1" w:rsidRPr="003236A1" w:rsidRDefault="003236A1" w:rsidP="003236A1">
      <w:pPr>
        <w:rPr>
          <w:rFonts w:ascii="Times New Roman" w:hAnsi="Times New Roman"/>
        </w:rPr>
      </w:pPr>
    </w:p>
    <w:p w14:paraId="176BEE97" w14:textId="77777777" w:rsidR="003236A1" w:rsidRPr="003236A1" w:rsidRDefault="003236A1" w:rsidP="003236A1">
      <w:pPr>
        <w:rPr>
          <w:rFonts w:ascii="Times New Roman" w:hAnsi="Times New Roman"/>
        </w:rPr>
      </w:pPr>
      <w:r w:rsidRPr="003236A1">
        <w:rPr>
          <w:rFonts w:ascii="Times New Roman" w:hAnsi="Times New Roman"/>
        </w:rPr>
        <w:t># Data</w:t>
      </w:r>
    </w:p>
    <w:p w14:paraId="22ACC4CA" w14:textId="77777777" w:rsidR="003236A1" w:rsidRPr="003236A1" w:rsidRDefault="003236A1" w:rsidP="003236A1">
      <w:pPr>
        <w:rPr>
          <w:rFonts w:ascii="Times New Roman" w:hAnsi="Times New Roman"/>
        </w:rPr>
      </w:pPr>
      <w:r w:rsidRPr="003236A1">
        <w:rPr>
          <w:rFonts w:ascii="Times New Roman" w:hAnsi="Times New Roman"/>
        </w:rPr>
        <w:t>library(rjags)</w:t>
      </w:r>
    </w:p>
    <w:p w14:paraId="59063A1F" w14:textId="77777777" w:rsidR="003236A1" w:rsidRPr="003236A1" w:rsidRDefault="003236A1" w:rsidP="003236A1">
      <w:pPr>
        <w:rPr>
          <w:rFonts w:ascii="Times New Roman" w:hAnsi="Times New Roman"/>
        </w:rPr>
      </w:pPr>
    </w:p>
    <w:p w14:paraId="5EF08EB4" w14:textId="77777777" w:rsidR="003236A1" w:rsidRPr="003236A1" w:rsidRDefault="003236A1" w:rsidP="003236A1">
      <w:pPr>
        <w:rPr>
          <w:rFonts w:ascii="Times New Roman" w:hAnsi="Times New Roman"/>
        </w:rPr>
      </w:pPr>
      <w:r w:rsidRPr="003236A1">
        <w:rPr>
          <w:rFonts w:ascii="Times New Roman" w:hAnsi="Times New Roman"/>
        </w:rPr>
        <w:t>inits&lt;-list(alpha=0,beta=0,tau=0.01)</w:t>
      </w:r>
    </w:p>
    <w:p w14:paraId="4D9F6841" w14:textId="77777777" w:rsidR="003236A1" w:rsidRPr="003236A1" w:rsidRDefault="003236A1" w:rsidP="003236A1">
      <w:pPr>
        <w:rPr>
          <w:rFonts w:ascii="Times New Roman" w:hAnsi="Times New Roman"/>
        </w:rPr>
      </w:pPr>
    </w:p>
    <w:p w14:paraId="776F6FC9" w14:textId="77777777" w:rsidR="003236A1" w:rsidRPr="003236A1" w:rsidRDefault="003236A1" w:rsidP="003236A1">
      <w:pPr>
        <w:rPr>
          <w:rFonts w:ascii="Times New Roman" w:hAnsi="Times New Roman"/>
        </w:rPr>
      </w:pPr>
      <w:r w:rsidRPr="003236A1">
        <w:rPr>
          <w:rFonts w:ascii="Times New Roman" w:hAnsi="Times New Roman"/>
        </w:rPr>
        <w:t># Data</w:t>
      </w:r>
    </w:p>
    <w:p w14:paraId="09205AA0" w14:textId="77777777" w:rsidR="003236A1" w:rsidRPr="003236A1" w:rsidRDefault="003236A1" w:rsidP="003236A1">
      <w:pPr>
        <w:rPr>
          <w:rFonts w:ascii="Times New Roman" w:hAnsi="Times New Roman"/>
        </w:rPr>
      </w:pPr>
      <w:r w:rsidRPr="003236A1">
        <w:rPr>
          <w:rFonts w:ascii="Times New Roman" w:hAnsi="Times New Roman"/>
        </w:rPr>
        <w:t>OOP.data&lt;-list(coevent=coevent,lnOOP=lnOOP, m=856, n=nrow(chronicdata))</w:t>
      </w:r>
    </w:p>
    <w:p w14:paraId="39414F1E" w14:textId="77777777" w:rsidR="003236A1" w:rsidRPr="003236A1" w:rsidRDefault="003236A1" w:rsidP="003236A1">
      <w:pPr>
        <w:rPr>
          <w:rFonts w:ascii="Times New Roman" w:hAnsi="Times New Roman"/>
        </w:rPr>
      </w:pPr>
    </w:p>
    <w:p w14:paraId="19850512" w14:textId="77777777" w:rsidR="003236A1" w:rsidRPr="003236A1" w:rsidRDefault="003236A1" w:rsidP="003236A1">
      <w:pPr>
        <w:rPr>
          <w:rFonts w:ascii="Times New Roman" w:hAnsi="Times New Roman"/>
        </w:rPr>
      </w:pPr>
      <w:r w:rsidRPr="003236A1">
        <w:rPr>
          <w:rFonts w:ascii="Times New Roman" w:hAnsi="Times New Roman"/>
        </w:rPr>
        <w:t>jagschronic.model1&lt;- jags.model(textConnection(bugmodelchronic),data=OOP.data, inits=inits,n.chains=2, quiet=TRUE)</w:t>
      </w:r>
    </w:p>
    <w:p w14:paraId="1F204ED8" w14:textId="77777777" w:rsidR="003236A1" w:rsidRPr="003236A1" w:rsidRDefault="003236A1" w:rsidP="003236A1">
      <w:pPr>
        <w:rPr>
          <w:rFonts w:ascii="Times New Roman" w:hAnsi="Times New Roman"/>
        </w:rPr>
      </w:pPr>
    </w:p>
    <w:p w14:paraId="357D7D00" w14:textId="77777777" w:rsidR="003236A1" w:rsidRPr="003236A1" w:rsidRDefault="003236A1" w:rsidP="003236A1">
      <w:pPr>
        <w:rPr>
          <w:rFonts w:ascii="Times New Roman" w:hAnsi="Times New Roman"/>
        </w:rPr>
      </w:pPr>
      <w:r w:rsidRPr="003236A1">
        <w:rPr>
          <w:rFonts w:ascii="Times New Roman" w:hAnsi="Times New Roman"/>
        </w:rPr>
        <w:t>update(jagschronic.model1, 100000)</w:t>
      </w:r>
    </w:p>
    <w:p w14:paraId="2A313C3F" w14:textId="77777777" w:rsidR="003236A1" w:rsidRPr="003236A1" w:rsidRDefault="003236A1" w:rsidP="003236A1">
      <w:pPr>
        <w:rPr>
          <w:rFonts w:ascii="Times New Roman" w:hAnsi="Times New Roman"/>
        </w:rPr>
      </w:pPr>
    </w:p>
    <w:p w14:paraId="3DE10F29" w14:textId="77777777" w:rsidR="003236A1" w:rsidRPr="003236A1" w:rsidRDefault="003236A1" w:rsidP="003236A1">
      <w:pPr>
        <w:rPr>
          <w:rFonts w:ascii="Times New Roman" w:hAnsi="Times New Roman"/>
        </w:rPr>
      </w:pPr>
      <w:r w:rsidRPr="003236A1">
        <w:rPr>
          <w:rFonts w:ascii="Times New Roman" w:hAnsi="Times New Roman"/>
        </w:rPr>
        <w:t xml:space="preserve">chronicmodel1&lt;- coda.samples(jagschronic.model1, </w:t>
      </w:r>
    </w:p>
    <w:p w14:paraId="7E0F5C4D" w14:textId="77777777" w:rsidR="003236A1" w:rsidRPr="003236A1" w:rsidRDefault="003236A1" w:rsidP="003236A1">
      <w:pPr>
        <w:rPr>
          <w:rFonts w:ascii="Times New Roman" w:hAnsi="Times New Roman"/>
        </w:rPr>
      </w:pPr>
      <w:r w:rsidRPr="003236A1">
        <w:rPr>
          <w:rFonts w:ascii="Times New Roman" w:hAnsi="Times New Roman"/>
        </w:rPr>
        <w:t xml:space="preserve">                              variable.names=c("post_mean","post_med"), </w:t>
      </w:r>
    </w:p>
    <w:p w14:paraId="2E54EFF5" w14:textId="77777777" w:rsidR="003236A1" w:rsidRPr="003236A1" w:rsidRDefault="003236A1" w:rsidP="003236A1">
      <w:pPr>
        <w:rPr>
          <w:rFonts w:ascii="Times New Roman" w:hAnsi="Times New Roman"/>
        </w:rPr>
      </w:pPr>
      <w:r w:rsidRPr="003236A1">
        <w:rPr>
          <w:rFonts w:ascii="Times New Roman" w:hAnsi="Times New Roman"/>
        </w:rPr>
        <w:t xml:space="preserve">                              n.iter=100000)</w:t>
      </w:r>
    </w:p>
    <w:p w14:paraId="0B8658C2" w14:textId="77777777" w:rsidR="003236A1" w:rsidRPr="003236A1" w:rsidRDefault="003236A1" w:rsidP="003236A1">
      <w:pPr>
        <w:rPr>
          <w:rFonts w:ascii="Times New Roman" w:hAnsi="Times New Roman"/>
        </w:rPr>
      </w:pPr>
      <w:r w:rsidRPr="003236A1">
        <w:rPr>
          <w:rFonts w:ascii="Times New Roman" w:hAnsi="Times New Roman"/>
        </w:rPr>
        <w:t>summary(chronicmodel1)</w:t>
      </w:r>
    </w:p>
    <w:p w14:paraId="3C07BA48" w14:textId="77777777" w:rsidR="003236A1" w:rsidRPr="003236A1" w:rsidRDefault="003236A1" w:rsidP="003236A1">
      <w:pPr>
        <w:rPr>
          <w:rFonts w:ascii="Times New Roman" w:hAnsi="Times New Roman"/>
        </w:rPr>
      </w:pPr>
      <w:r w:rsidRPr="003236A1">
        <w:rPr>
          <w:rFonts w:ascii="Times New Roman" w:hAnsi="Times New Roman"/>
        </w:rPr>
        <w:t>traceplot(chronicmodel1)</w:t>
      </w:r>
    </w:p>
    <w:p w14:paraId="51059006" w14:textId="77777777" w:rsidR="007E4022" w:rsidRDefault="003236A1" w:rsidP="003236A1">
      <w:pPr>
        <w:rPr>
          <w:rFonts w:ascii="Times New Roman" w:hAnsi="Times New Roman"/>
        </w:rPr>
      </w:pPr>
      <w:r w:rsidRPr="003236A1">
        <w:rPr>
          <w:rFonts w:ascii="Times New Roman" w:hAnsi="Times New Roman"/>
        </w:rPr>
        <w:t>gelman.diag(chronicmodel1)</w:t>
      </w:r>
    </w:p>
    <w:p w14:paraId="20E1AAFD" w14:textId="75BBFFE6" w:rsidR="002A2461" w:rsidRPr="005467A4" w:rsidRDefault="002A2461" w:rsidP="005467A4">
      <w:pPr>
        <w:rPr>
          <w:rFonts w:ascii="Times New Roman" w:hAnsi="Times New Roman"/>
        </w:rPr>
      </w:pPr>
      <w:r w:rsidRPr="003236A1">
        <w:rPr>
          <w:rFonts w:ascii="Times New Roman" w:hAnsi="Times New Roman"/>
          <w:i/>
        </w:rPr>
        <w:br w:type="page"/>
      </w:r>
      <w:r w:rsidRPr="005467A4">
        <w:rPr>
          <w:rFonts w:ascii="Times New Roman" w:hAnsi="Times New Roman"/>
        </w:rPr>
        <w:t xml:space="preserve">Reference </w:t>
      </w:r>
    </w:p>
    <w:p w14:paraId="0C696A07" w14:textId="77777777" w:rsidR="002A2461" w:rsidRPr="005467A4" w:rsidRDefault="002A2461" w:rsidP="000A5130">
      <w:pPr>
        <w:spacing w:line="360" w:lineRule="auto"/>
        <w:rPr>
          <w:rFonts w:ascii="Times New Roman" w:hAnsi="Times New Roman"/>
        </w:rPr>
      </w:pPr>
    </w:p>
    <w:p w14:paraId="43155846" w14:textId="77777777" w:rsidR="002A2461" w:rsidRPr="005467A4" w:rsidRDefault="002A2461" w:rsidP="000A5130">
      <w:pPr>
        <w:pStyle w:val="EndNoteBibliography"/>
        <w:rPr>
          <w:rFonts w:ascii="Times New Roman" w:hAnsi="Times New Roman"/>
          <w:noProof/>
        </w:rPr>
      </w:pPr>
      <w:r w:rsidRPr="005467A4">
        <w:rPr>
          <w:rFonts w:ascii="Times New Roman" w:hAnsi="Times New Roman"/>
          <w:noProof/>
        </w:rPr>
        <w:t>1.</w:t>
      </w:r>
      <w:r w:rsidRPr="005467A4">
        <w:rPr>
          <w:rFonts w:ascii="Times New Roman" w:hAnsi="Times New Roman"/>
          <w:noProof/>
        </w:rPr>
        <w:tab/>
        <w:t>Nepal living standards survey report 1995/96, Main findings, Volume one. Thapathali, Kathmandu, Nepal: National Planning Commission Secretariat, Central Bureau of Statistics, Government of Nepal; 1996.</w:t>
      </w:r>
    </w:p>
    <w:p w14:paraId="24E84515" w14:textId="77777777" w:rsidR="002A2461" w:rsidRPr="005467A4" w:rsidRDefault="002A2461" w:rsidP="000A5130">
      <w:pPr>
        <w:pStyle w:val="EndNoteBibliography"/>
        <w:rPr>
          <w:rFonts w:ascii="Times New Roman" w:hAnsi="Times New Roman"/>
          <w:noProof/>
        </w:rPr>
      </w:pPr>
      <w:r w:rsidRPr="005467A4">
        <w:rPr>
          <w:rFonts w:ascii="Times New Roman" w:hAnsi="Times New Roman"/>
          <w:noProof/>
        </w:rPr>
        <w:t>2.</w:t>
      </w:r>
      <w:r w:rsidRPr="005467A4">
        <w:rPr>
          <w:rFonts w:ascii="Times New Roman" w:hAnsi="Times New Roman"/>
          <w:noProof/>
        </w:rPr>
        <w:tab/>
        <w:t>Nepal living standards surveys 2010/11, Statistical Report, Volume one. Thapathali, Kathmandu, Nepal: National Planning Commission Secretariat, Central Bureau of Statistics, Government of Nepal; 2011.</w:t>
      </w:r>
    </w:p>
    <w:p w14:paraId="7DAEED53" w14:textId="77777777" w:rsidR="002A2461" w:rsidRPr="005467A4" w:rsidRDefault="002A2461" w:rsidP="000A5130">
      <w:pPr>
        <w:pStyle w:val="EndNoteBibliography"/>
        <w:rPr>
          <w:rFonts w:ascii="Times New Roman" w:hAnsi="Times New Roman"/>
          <w:noProof/>
        </w:rPr>
      </w:pPr>
      <w:r w:rsidRPr="005467A4">
        <w:rPr>
          <w:rFonts w:ascii="Times New Roman" w:hAnsi="Times New Roman"/>
          <w:noProof/>
        </w:rPr>
        <w:t>3.</w:t>
      </w:r>
      <w:r w:rsidRPr="005467A4">
        <w:rPr>
          <w:rFonts w:ascii="Times New Roman" w:hAnsi="Times New Roman"/>
          <w:noProof/>
        </w:rPr>
        <w:tab/>
        <w:t>Deaton A, Zaidi S. Guidelines for constructing consumption aggregates for welfare analysis: World Bank Publications; 2002.</w:t>
      </w:r>
    </w:p>
    <w:p w14:paraId="3AD379EC" w14:textId="77777777" w:rsidR="002A2461" w:rsidRPr="005467A4" w:rsidRDefault="002A2461" w:rsidP="000A5130">
      <w:pPr>
        <w:pStyle w:val="EndNoteBibliography"/>
        <w:rPr>
          <w:rFonts w:ascii="Times New Roman" w:hAnsi="Times New Roman"/>
          <w:noProof/>
        </w:rPr>
      </w:pPr>
      <w:r w:rsidRPr="005467A4">
        <w:rPr>
          <w:rFonts w:ascii="Times New Roman" w:hAnsi="Times New Roman"/>
          <w:noProof/>
        </w:rPr>
        <w:t>4.</w:t>
      </w:r>
      <w:r w:rsidRPr="005467A4">
        <w:rPr>
          <w:rFonts w:ascii="Times New Roman" w:hAnsi="Times New Roman"/>
          <w:noProof/>
        </w:rPr>
        <w:tab/>
        <w:t>Gelman A, Jakulin A, Pittau MG, Su Y-S. A weakly informative default prior distribution for logistic and other regression models. Ann Appl Stat. 2008:1360-83.</w:t>
      </w:r>
    </w:p>
    <w:p w14:paraId="5DF91472" w14:textId="77777777" w:rsidR="002A2461" w:rsidRPr="005467A4" w:rsidRDefault="002A2461" w:rsidP="000A5130">
      <w:pPr>
        <w:pStyle w:val="EndNoteBibliography"/>
        <w:rPr>
          <w:rFonts w:ascii="Times New Roman" w:hAnsi="Times New Roman"/>
          <w:noProof/>
        </w:rPr>
      </w:pPr>
      <w:r w:rsidRPr="005467A4">
        <w:rPr>
          <w:rFonts w:ascii="Times New Roman" w:hAnsi="Times New Roman"/>
          <w:noProof/>
        </w:rPr>
        <w:t>5.</w:t>
      </w:r>
      <w:r w:rsidRPr="005467A4">
        <w:rPr>
          <w:rFonts w:ascii="Times New Roman" w:hAnsi="Times New Roman"/>
          <w:noProof/>
        </w:rPr>
        <w:tab/>
        <w:t>Kakwani N, Wagstaff A, Van Doorslaer E. Socioeconomic inequalities in health: measurement, computation, and statistical inference. J Econom. 1997;77(1):87-103.</w:t>
      </w:r>
    </w:p>
    <w:p w14:paraId="37923EB8" w14:textId="77777777" w:rsidR="002A2461" w:rsidRPr="005467A4" w:rsidRDefault="002A2461" w:rsidP="000A5130">
      <w:pPr>
        <w:pStyle w:val="EndNoteBibliography"/>
        <w:rPr>
          <w:rFonts w:ascii="Times New Roman" w:hAnsi="Times New Roman"/>
          <w:noProof/>
        </w:rPr>
      </w:pPr>
      <w:r w:rsidRPr="005467A4">
        <w:rPr>
          <w:rFonts w:ascii="Times New Roman" w:hAnsi="Times New Roman"/>
          <w:noProof/>
        </w:rPr>
        <w:t>6.</w:t>
      </w:r>
      <w:r w:rsidRPr="005467A4">
        <w:rPr>
          <w:rFonts w:ascii="Times New Roman" w:hAnsi="Times New Roman"/>
          <w:noProof/>
        </w:rPr>
        <w:tab/>
        <w:t>World Health Organization. Handbook on health inequality monitoring with a special focus on low-and middle-income countries: World Health Organization; 2013.</w:t>
      </w:r>
    </w:p>
    <w:p w14:paraId="007CE281" w14:textId="77777777" w:rsidR="002A2461" w:rsidRDefault="002A2461" w:rsidP="000A5130">
      <w:pPr>
        <w:spacing w:line="360" w:lineRule="auto"/>
      </w:pPr>
    </w:p>
    <w:p w14:paraId="520A112E" w14:textId="77777777" w:rsidR="00C75498" w:rsidRDefault="00C75498"/>
    <w:sectPr w:rsidR="00C75498" w:rsidSect="000A513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0ACA1" w14:textId="77777777" w:rsidR="002A5672" w:rsidRDefault="002A5672">
      <w:r>
        <w:separator/>
      </w:r>
    </w:p>
  </w:endnote>
  <w:endnote w:type="continuationSeparator" w:id="0">
    <w:p w14:paraId="62F4189A" w14:textId="77777777" w:rsidR="002A5672" w:rsidRDefault="002A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Theme Headings)">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24D6" w14:textId="77777777" w:rsidR="002A5672" w:rsidRDefault="002A5672" w:rsidP="000A5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00D11" w14:textId="77777777" w:rsidR="002A5672" w:rsidRDefault="002A5672" w:rsidP="000A5130">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4323199" w14:textId="77777777" w:rsidR="002A5672" w:rsidRDefault="002A5672" w:rsidP="000A51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76FE6" w14:textId="77777777" w:rsidR="002A5672" w:rsidRDefault="002A5672" w:rsidP="000A5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B2C">
      <w:rPr>
        <w:rStyle w:val="PageNumber"/>
        <w:noProof/>
      </w:rPr>
      <w:t>1</w:t>
    </w:r>
    <w:r>
      <w:rPr>
        <w:rStyle w:val="PageNumber"/>
      </w:rPr>
      <w:fldChar w:fldCharType="end"/>
    </w:r>
  </w:p>
  <w:p w14:paraId="259CA8F7" w14:textId="77777777" w:rsidR="002A5672" w:rsidRDefault="002A5672" w:rsidP="000A51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8EBC2" w14:textId="77777777" w:rsidR="002A5672" w:rsidRDefault="002A5672">
      <w:r>
        <w:separator/>
      </w:r>
    </w:p>
  </w:footnote>
  <w:footnote w:type="continuationSeparator" w:id="0">
    <w:p w14:paraId="43EB773E" w14:textId="77777777" w:rsidR="002A5672" w:rsidRDefault="002A56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428"/>
    <w:multiLevelType w:val="hybridMultilevel"/>
    <w:tmpl w:val="2C02A302"/>
    <w:lvl w:ilvl="0" w:tplc="1B92228A">
      <w:start w:val="1"/>
      <w:numFmt w:val="decimal"/>
      <w:lvlText w:val="%1."/>
      <w:lvlJc w:val="left"/>
      <w:pPr>
        <w:ind w:left="360" w:hanging="360"/>
      </w:pPr>
      <w:rPr>
        <w:rFonts w:ascii="Calibri (Theme Headings)" w:hAnsi="Calibri (Theme Heading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C2DC1"/>
    <w:multiLevelType w:val="hybridMultilevel"/>
    <w:tmpl w:val="2B3E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E5E5E"/>
    <w:multiLevelType w:val="hybridMultilevel"/>
    <w:tmpl w:val="7F2A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10D46"/>
    <w:multiLevelType w:val="hybridMultilevel"/>
    <w:tmpl w:val="8BC8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D50B8"/>
    <w:multiLevelType w:val="hybridMultilevel"/>
    <w:tmpl w:val="D762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B5066"/>
    <w:multiLevelType w:val="hybridMultilevel"/>
    <w:tmpl w:val="54C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C5FE6"/>
    <w:multiLevelType w:val="hybridMultilevel"/>
    <w:tmpl w:val="E2D0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D00E7"/>
    <w:multiLevelType w:val="hybridMultilevel"/>
    <w:tmpl w:val="73B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B4048"/>
    <w:multiLevelType w:val="hybridMultilevel"/>
    <w:tmpl w:val="8BA4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92227"/>
    <w:multiLevelType w:val="hybridMultilevel"/>
    <w:tmpl w:val="CC2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50BDA"/>
    <w:multiLevelType w:val="hybridMultilevel"/>
    <w:tmpl w:val="5E7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8"/>
  </w:num>
  <w:num w:numId="7">
    <w:abstractNumId w:val="5"/>
  </w:num>
  <w:num w:numId="8">
    <w:abstractNumId w:val="9"/>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A2461"/>
    <w:rsid w:val="00093FD2"/>
    <w:rsid w:val="000A5130"/>
    <w:rsid w:val="00283A9A"/>
    <w:rsid w:val="002A2461"/>
    <w:rsid w:val="002A5672"/>
    <w:rsid w:val="003236A1"/>
    <w:rsid w:val="00387CE1"/>
    <w:rsid w:val="005467A4"/>
    <w:rsid w:val="006B19D5"/>
    <w:rsid w:val="00713B3A"/>
    <w:rsid w:val="00740B2C"/>
    <w:rsid w:val="007E4022"/>
    <w:rsid w:val="008C3BF0"/>
    <w:rsid w:val="009503AA"/>
    <w:rsid w:val="00A944B7"/>
    <w:rsid w:val="00C75498"/>
    <w:rsid w:val="00FD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E7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6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83A9A"/>
    <w:pPr>
      <w:spacing w:before="120"/>
    </w:pPr>
    <w:rPr>
      <w:rFonts w:ascii="Times New Roman" w:hAnsi="Times New Roman"/>
      <w:caps/>
      <w:szCs w:val="22"/>
    </w:rPr>
  </w:style>
  <w:style w:type="paragraph" w:styleId="BalloonText">
    <w:name w:val="Balloon Text"/>
    <w:basedOn w:val="Normal"/>
    <w:link w:val="BalloonTextChar"/>
    <w:uiPriority w:val="99"/>
    <w:semiHidden/>
    <w:unhideWhenUsed/>
    <w:rsid w:val="002A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461"/>
    <w:rPr>
      <w:rFonts w:ascii="Lucida Grande" w:eastAsia="ＭＳ 明朝" w:hAnsi="Lucida Grande" w:cs="Lucida Grande"/>
      <w:sz w:val="18"/>
      <w:szCs w:val="18"/>
    </w:rPr>
  </w:style>
  <w:style w:type="paragraph" w:styleId="ListParagraph">
    <w:name w:val="List Paragraph"/>
    <w:basedOn w:val="Normal"/>
    <w:uiPriority w:val="34"/>
    <w:qFormat/>
    <w:rsid w:val="002A2461"/>
    <w:pPr>
      <w:ind w:left="720"/>
      <w:contextualSpacing/>
    </w:pPr>
  </w:style>
  <w:style w:type="character" w:styleId="CommentReference">
    <w:name w:val="annotation reference"/>
    <w:uiPriority w:val="99"/>
    <w:semiHidden/>
    <w:unhideWhenUsed/>
    <w:rsid w:val="002A2461"/>
    <w:rPr>
      <w:sz w:val="18"/>
      <w:szCs w:val="18"/>
    </w:rPr>
  </w:style>
  <w:style w:type="paragraph" w:styleId="CommentText">
    <w:name w:val="annotation text"/>
    <w:basedOn w:val="Normal"/>
    <w:link w:val="CommentTextChar"/>
    <w:uiPriority w:val="99"/>
    <w:unhideWhenUsed/>
    <w:rsid w:val="002A2461"/>
  </w:style>
  <w:style w:type="character" w:customStyle="1" w:styleId="CommentTextChar">
    <w:name w:val="Comment Text Char"/>
    <w:basedOn w:val="DefaultParagraphFont"/>
    <w:link w:val="CommentText"/>
    <w:uiPriority w:val="99"/>
    <w:rsid w:val="002A2461"/>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2A2461"/>
    <w:rPr>
      <w:b/>
      <w:bCs/>
      <w:sz w:val="20"/>
      <w:szCs w:val="20"/>
    </w:rPr>
  </w:style>
  <w:style w:type="character" w:customStyle="1" w:styleId="CommentSubjectChar">
    <w:name w:val="Comment Subject Char"/>
    <w:basedOn w:val="CommentTextChar"/>
    <w:link w:val="CommentSubject"/>
    <w:uiPriority w:val="99"/>
    <w:semiHidden/>
    <w:rsid w:val="002A2461"/>
    <w:rPr>
      <w:rFonts w:ascii="Cambria" w:eastAsia="ＭＳ 明朝" w:hAnsi="Cambria" w:cs="Times New Roman"/>
      <w:b/>
      <w:bCs/>
      <w:sz w:val="20"/>
      <w:szCs w:val="20"/>
    </w:rPr>
  </w:style>
  <w:style w:type="paragraph" w:customStyle="1" w:styleId="EndNoteBibliographyTitle">
    <w:name w:val="EndNote Bibliography Title"/>
    <w:basedOn w:val="Normal"/>
    <w:rsid w:val="002A2461"/>
    <w:pPr>
      <w:jc w:val="center"/>
    </w:pPr>
  </w:style>
  <w:style w:type="paragraph" w:customStyle="1" w:styleId="EndNoteBibliography">
    <w:name w:val="EndNote Bibliography"/>
    <w:basedOn w:val="Normal"/>
    <w:rsid w:val="002A2461"/>
  </w:style>
  <w:style w:type="character" w:styleId="Hyperlink">
    <w:name w:val="Hyperlink"/>
    <w:uiPriority w:val="99"/>
    <w:unhideWhenUsed/>
    <w:rsid w:val="002A2461"/>
    <w:rPr>
      <w:color w:val="0563C1"/>
      <w:u w:val="single"/>
    </w:rPr>
  </w:style>
  <w:style w:type="paragraph" w:styleId="Header">
    <w:name w:val="header"/>
    <w:basedOn w:val="Normal"/>
    <w:link w:val="HeaderChar"/>
    <w:uiPriority w:val="99"/>
    <w:unhideWhenUsed/>
    <w:rsid w:val="002A2461"/>
    <w:pPr>
      <w:tabs>
        <w:tab w:val="center" w:pos="4320"/>
        <w:tab w:val="right" w:pos="8640"/>
      </w:tabs>
    </w:pPr>
  </w:style>
  <w:style w:type="character" w:customStyle="1" w:styleId="HeaderChar">
    <w:name w:val="Header Char"/>
    <w:basedOn w:val="DefaultParagraphFont"/>
    <w:link w:val="Header"/>
    <w:uiPriority w:val="99"/>
    <w:rsid w:val="002A2461"/>
    <w:rPr>
      <w:rFonts w:ascii="Cambria" w:eastAsia="ＭＳ 明朝" w:hAnsi="Cambria" w:cs="Times New Roman"/>
    </w:rPr>
  </w:style>
  <w:style w:type="paragraph" w:styleId="Footer">
    <w:name w:val="footer"/>
    <w:basedOn w:val="Normal"/>
    <w:link w:val="FooterChar"/>
    <w:uiPriority w:val="99"/>
    <w:unhideWhenUsed/>
    <w:rsid w:val="002A2461"/>
    <w:pPr>
      <w:tabs>
        <w:tab w:val="center" w:pos="4320"/>
        <w:tab w:val="right" w:pos="8640"/>
      </w:tabs>
    </w:pPr>
  </w:style>
  <w:style w:type="character" w:customStyle="1" w:styleId="FooterChar">
    <w:name w:val="Footer Char"/>
    <w:basedOn w:val="DefaultParagraphFont"/>
    <w:link w:val="Footer"/>
    <w:uiPriority w:val="99"/>
    <w:rsid w:val="002A2461"/>
    <w:rPr>
      <w:rFonts w:ascii="Cambria" w:eastAsia="ＭＳ 明朝" w:hAnsi="Cambria" w:cs="Times New Roman"/>
    </w:rPr>
  </w:style>
  <w:style w:type="character" w:styleId="PlaceholderText">
    <w:name w:val="Placeholder Text"/>
    <w:basedOn w:val="DefaultParagraphFont"/>
    <w:uiPriority w:val="99"/>
    <w:semiHidden/>
    <w:rsid w:val="002A2461"/>
    <w:rPr>
      <w:color w:val="808080"/>
    </w:rPr>
  </w:style>
  <w:style w:type="character" w:styleId="PageNumber">
    <w:name w:val="page number"/>
    <w:basedOn w:val="DefaultParagraphFont"/>
    <w:uiPriority w:val="99"/>
    <w:semiHidden/>
    <w:unhideWhenUsed/>
    <w:rsid w:val="002A2461"/>
  </w:style>
  <w:style w:type="paragraph" w:styleId="NormalWeb">
    <w:name w:val="Normal (Web)"/>
    <w:basedOn w:val="Normal"/>
    <w:uiPriority w:val="99"/>
    <w:unhideWhenUsed/>
    <w:rsid w:val="00FD2290"/>
    <w:pPr>
      <w:spacing w:before="100" w:beforeAutospacing="1" w:after="100" w:afterAutospacing="1"/>
    </w:pPr>
    <w:rPr>
      <w:rFonts w:ascii="Times" w:eastAsiaTheme="minorEastAsia" w:hAnsi="Times"/>
      <w:sz w:val="20"/>
      <w:szCs w:val="20"/>
    </w:rPr>
  </w:style>
  <w:style w:type="character" w:styleId="LineNumber">
    <w:name w:val="line number"/>
    <w:basedOn w:val="DefaultParagraphFont"/>
    <w:uiPriority w:val="99"/>
    <w:semiHidden/>
    <w:unhideWhenUsed/>
    <w:rsid w:val="003236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6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83A9A"/>
    <w:pPr>
      <w:spacing w:before="120"/>
    </w:pPr>
    <w:rPr>
      <w:rFonts w:ascii="Times New Roman" w:hAnsi="Times New Roman"/>
      <w:caps/>
      <w:szCs w:val="22"/>
    </w:rPr>
  </w:style>
  <w:style w:type="paragraph" w:styleId="BalloonText">
    <w:name w:val="Balloon Text"/>
    <w:basedOn w:val="Normal"/>
    <w:link w:val="BalloonTextChar"/>
    <w:uiPriority w:val="99"/>
    <w:semiHidden/>
    <w:unhideWhenUsed/>
    <w:rsid w:val="002A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461"/>
    <w:rPr>
      <w:rFonts w:ascii="Lucida Grande" w:eastAsia="ＭＳ 明朝" w:hAnsi="Lucida Grande" w:cs="Lucida Grande"/>
      <w:sz w:val="18"/>
      <w:szCs w:val="18"/>
    </w:rPr>
  </w:style>
  <w:style w:type="paragraph" w:styleId="ListParagraph">
    <w:name w:val="List Paragraph"/>
    <w:basedOn w:val="Normal"/>
    <w:uiPriority w:val="34"/>
    <w:qFormat/>
    <w:rsid w:val="002A2461"/>
    <w:pPr>
      <w:ind w:left="720"/>
      <w:contextualSpacing/>
    </w:pPr>
  </w:style>
  <w:style w:type="character" w:styleId="CommentReference">
    <w:name w:val="annotation reference"/>
    <w:uiPriority w:val="99"/>
    <w:semiHidden/>
    <w:unhideWhenUsed/>
    <w:rsid w:val="002A2461"/>
    <w:rPr>
      <w:sz w:val="18"/>
      <w:szCs w:val="18"/>
    </w:rPr>
  </w:style>
  <w:style w:type="paragraph" w:styleId="CommentText">
    <w:name w:val="annotation text"/>
    <w:basedOn w:val="Normal"/>
    <w:link w:val="CommentTextChar"/>
    <w:uiPriority w:val="99"/>
    <w:unhideWhenUsed/>
    <w:rsid w:val="002A2461"/>
  </w:style>
  <w:style w:type="character" w:customStyle="1" w:styleId="CommentTextChar">
    <w:name w:val="Comment Text Char"/>
    <w:basedOn w:val="DefaultParagraphFont"/>
    <w:link w:val="CommentText"/>
    <w:uiPriority w:val="99"/>
    <w:rsid w:val="002A2461"/>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2A2461"/>
    <w:rPr>
      <w:b/>
      <w:bCs/>
      <w:sz w:val="20"/>
      <w:szCs w:val="20"/>
    </w:rPr>
  </w:style>
  <w:style w:type="character" w:customStyle="1" w:styleId="CommentSubjectChar">
    <w:name w:val="Comment Subject Char"/>
    <w:basedOn w:val="CommentTextChar"/>
    <w:link w:val="CommentSubject"/>
    <w:uiPriority w:val="99"/>
    <w:semiHidden/>
    <w:rsid w:val="002A2461"/>
    <w:rPr>
      <w:rFonts w:ascii="Cambria" w:eastAsia="ＭＳ 明朝" w:hAnsi="Cambria" w:cs="Times New Roman"/>
      <w:b/>
      <w:bCs/>
      <w:sz w:val="20"/>
      <w:szCs w:val="20"/>
    </w:rPr>
  </w:style>
  <w:style w:type="paragraph" w:customStyle="1" w:styleId="EndNoteBibliographyTitle">
    <w:name w:val="EndNote Bibliography Title"/>
    <w:basedOn w:val="Normal"/>
    <w:rsid w:val="002A2461"/>
    <w:pPr>
      <w:jc w:val="center"/>
    </w:pPr>
  </w:style>
  <w:style w:type="paragraph" w:customStyle="1" w:styleId="EndNoteBibliography">
    <w:name w:val="EndNote Bibliography"/>
    <w:basedOn w:val="Normal"/>
    <w:rsid w:val="002A2461"/>
  </w:style>
  <w:style w:type="character" w:styleId="Hyperlink">
    <w:name w:val="Hyperlink"/>
    <w:uiPriority w:val="99"/>
    <w:unhideWhenUsed/>
    <w:rsid w:val="002A2461"/>
    <w:rPr>
      <w:color w:val="0563C1"/>
      <w:u w:val="single"/>
    </w:rPr>
  </w:style>
  <w:style w:type="paragraph" w:styleId="Header">
    <w:name w:val="header"/>
    <w:basedOn w:val="Normal"/>
    <w:link w:val="HeaderChar"/>
    <w:uiPriority w:val="99"/>
    <w:unhideWhenUsed/>
    <w:rsid w:val="002A2461"/>
    <w:pPr>
      <w:tabs>
        <w:tab w:val="center" w:pos="4320"/>
        <w:tab w:val="right" w:pos="8640"/>
      </w:tabs>
    </w:pPr>
  </w:style>
  <w:style w:type="character" w:customStyle="1" w:styleId="HeaderChar">
    <w:name w:val="Header Char"/>
    <w:basedOn w:val="DefaultParagraphFont"/>
    <w:link w:val="Header"/>
    <w:uiPriority w:val="99"/>
    <w:rsid w:val="002A2461"/>
    <w:rPr>
      <w:rFonts w:ascii="Cambria" w:eastAsia="ＭＳ 明朝" w:hAnsi="Cambria" w:cs="Times New Roman"/>
    </w:rPr>
  </w:style>
  <w:style w:type="paragraph" w:styleId="Footer">
    <w:name w:val="footer"/>
    <w:basedOn w:val="Normal"/>
    <w:link w:val="FooterChar"/>
    <w:uiPriority w:val="99"/>
    <w:unhideWhenUsed/>
    <w:rsid w:val="002A2461"/>
    <w:pPr>
      <w:tabs>
        <w:tab w:val="center" w:pos="4320"/>
        <w:tab w:val="right" w:pos="8640"/>
      </w:tabs>
    </w:pPr>
  </w:style>
  <w:style w:type="character" w:customStyle="1" w:styleId="FooterChar">
    <w:name w:val="Footer Char"/>
    <w:basedOn w:val="DefaultParagraphFont"/>
    <w:link w:val="Footer"/>
    <w:uiPriority w:val="99"/>
    <w:rsid w:val="002A2461"/>
    <w:rPr>
      <w:rFonts w:ascii="Cambria" w:eastAsia="ＭＳ 明朝" w:hAnsi="Cambria" w:cs="Times New Roman"/>
    </w:rPr>
  </w:style>
  <w:style w:type="character" w:styleId="PlaceholderText">
    <w:name w:val="Placeholder Text"/>
    <w:basedOn w:val="DefaultParagraphFont"/>
    <w:uiPriority w:val="99"/>
    <w:semiHidden/>
    <w:rsid w:val="002A2461"/>
    <w:rPr>
      <w:color w:val="808080"/>
    </w:rPr>
  </w:style>
  <w:style w:type="character" w:styleId="PageNumber">
    <w:name w:val="page number"/>
    <w:basedOn w:val="DefaultParagraphFont"/>
    <w:uiPriority w:val="99"/>
    <w:semiHidden/>
    <w:unhideWhenUsed/>
    <w:rsid w:val="002A2461"/>
  </w:style>
  <w:style w:type="paragraph" w:styleId="NormalWeb">
    <w:name w:val="Normal (Web)"/>
    <w:basedOn w:val="Normal"/>
    <w:uiPriority w:val="99"/>
    <w:unhideWhenUsed/>
    <w:rsid w:val="00FD2290"/>
    <w:pPr>
      <w:spacing w:before="100" w:beforeAutospacing="1" w:after="100" w:afterAutospacing="1"/>
    </w:pPr>
    <w:rPr>
      <w:rFonts w:ascii="Times" w:eastAsiaTheme="minorEastAsia" w:hAnsi="Times"/>
      <w:sz w:val="20"/>
      <w:szCs w:val="20"/>
    </w:rPr>
  </w:style>
  <w:style w:type="character" w:styleId="LineNumber">
    <w:name w:val="line number"/>
    <w:basedOn w:val="DefaultParagraphFont"/>
    <w:uiPriority w:val="99"/>
    <w:semiHidden/>
    <w:unhideWhenUsed/>
    <w:rsid w:val="0032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98F3-98D6-BC40-A696-E8939026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2074</Words>
  <Characters>11409</Characters>
  <Application>Microsoft Macintosh Word</Application>
  <DocSecurity>0</DocSecurity>
  <Lines>633</Lines>
  <Paragraphs>275</Paragraphs>
  <ScaleCrop>false</ScaleCrop>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 thet swe</dc:creator>
  <cp:keywords/>
  <dc:description/>
  <cp:lastModifiedBy>khin thet swe</cp:lastModifiedBy>
  <cp:revision>12</cp:revision>
  <dcterms:created xsi:type="dcterms:W3CDTF">2017-04-27T05:43:00Z</dcterms:created>
  <dcterms:modified xsi:type="dcterms:W3CDTF">2018-03-09T12:12:00Z</dcterms:modified>
</cp:coreProperties>
</file>