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0E" w:rsidRPr="00BD5BC6" w:rsidRDefault="0032100E" w:rsidP="0032100E">
      <w:pPr>
        <w:pStyle w:val="Caption"/>
        <w:rPr>
          <w:rFonts w:ascii="Times New Roman" w:hAnsi="Times New Roman" w:cs="Times New Roman"/>
          <w:sz w:val="22"/>
          <w:lang w:val="en-GB"/>
        </w:rPr>
      </w:pPr>
      <w:r w:rsidRPr="00BD5BC6">
        <w:rPr>
          <w:rFonts w:ascii="Times New Roman" w:hAnsi="Times New Roman" w:cs="Times New Roman"/>
          <w:sz w:val="22"/>
          <w:lang w:val="en-GB"/>
        </w:rPr>
        <w:t>Table S3. Average annual total catch (in tonnes), Gulf catch (in tonnes) and proportion the latter represents overall by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100E" w:rsidRPr="00093083" w:rsidTr="00323453">
        <w:tc>
          <w:tcPr>
            <w:tcW w:w="2254" w:type="dxa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b/>
                <w:sz w:val="20"/>
                <w:lang w:val="en-GB"/>
              </w:rPr>
              <w:t>Country</w:t>
            </w:r>
          </w:p>
        </w:tc>
        <w:tc>
          <w:tcPr>
            <w:tcW w:w="2254" w:type="dxa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b/>
                <w:sz w:val="20"/>
                <w:lang w:val="en-GB"/>
              </w:rPr>
              <w:t>Average annual total catch (tonnes)</w:t>
            </w:r>
          </w:p>
        </w:tc>
        <w:tc>
          <w:tcPr>
            <w:tcW w:w="2254" w:type="dxa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b/>
                <w:sz w:val="20"/>
                <w:lang w:val="en-GB"/>
              </w:rPr>
              <w:t>Gulf Catch (tonnes)</w:t>
            </w:r>
          </w:p>
        </w:tc>
        <w:tc>
          <w:tcPr>
            <w:tcW w:w="2254" w:type="dxa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Proportion in </w:t>
            </w: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br/>
            </w:r>
            <w:r w:rsidRPr="00093083">
              <w:rPr>
                <w:rFonts w:ascii="Times New Roman" w:hAnsi="Times New Roman" w:cs="Times New Roman"/>
                <w:b/>
                <w:sz w:val="20"/>
                <w:lang w:val="en-GB"/>
              </w:rPr>
              <w:t>Gulf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Bahrain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38,599.71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38,599.71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Iran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162,120.10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121,802.61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0.75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Iraq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12,868.92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12,868.92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Kuwait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38,692.13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38,692.13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Oman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90,088.77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3,688.36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0.04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Qatar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12,072.33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12,072.33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Saudi Arabia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39,501.83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19,872.86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0.50</w:t>
            </w:r>
          </w:p>
        </w:tc>
      </w:tr>
      <w:tr w:rsidR="0032100E" w:rsidRPr="00093083" w:rsidTr="00323453"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United Arab Emirates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39,508.20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39,508.20</w:t>
            </w:r>
          </w:p>
        </w:tc>
        <w:tc>
          <w:tcPr>
            <w:tcW w:w="2254" w:type="dxa"/>
            <w:vAlign w:val="center"/>
          </w:tcPr>
          <w:p w:rsidR="0032100E" w:rsidRPr="00093083" w:rsidRDefault="0032100E" w:rsidP="00323453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093083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</w:p>
        </w:tc>
      </w:tr>
    </w:tbl>
    <w:p w:rsidR="00A43012" w:rsidRDefault="0032100E">
      <w:bookmarkStart w:id="0" w:name="_GoBack"/>
      <w:bookmarkEnd w:id="0"/>
    </w:p>
    <w:sectPr w:rsidR="00A4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E"/>
    <w:rsid w:val="00082E91"/>
    <w:rsid w:val="0032100E"/>
    <w:rsid w:val="004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90E9C-7055-49E3-ADFF-CC071672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0E"/>
    <w:pPr>
      <w:spacing w:before="120"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2100E"/>
    <w:pPr>
      <w:spacing w:after="120" w:line="360" w:lineRule="auto"/>
      <w:jc w:val="left"/>
    </w:pPr>
    <w:rPr>
      <w:rFonts w:ascii="Cambria" w:hAnsi="Cambr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2100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2018-03-28T17:57:00Z</dcterms:created>
  <dcterms:modified xsi:type="dcterms:W3CDTF">2018-03-28T17:57:00Z</dcterms:modified>
</cp:coreProperties>
</file>