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D3" w:rsidRPr="0039328E" w:rsidRDefault="007E2BD3" w:rsidP="007E2BD3">
      <w:pPr>
        <w:spacing w:line="480" w:lineRule="auto"/>
        <w:rPr>
          <w:rStyle w:val="None"/>
          <w:rFonts w:eastAsia="Times New Roman"/>
          <w:color w:val="000000"/>
          <w:u w:color="000000"/>
        </w:rPr>
      </w:pPr>
      <w:r w:rsidRPr="0039328E">
        <w:rPr>
          <w:rStyle w:val="None"/>
          <w:rFonts w:eastAsia="Times New Roman"/>
          <w:b/>
          <w:color w:val="000000"/>
          <w:u w:color="000000"/>
        </w:rPr>
        <w:t>Table S7.</w:t>
      </w:r>
      <w:r>
        <w:rPr>
          <w:rStyle w:val="None"/>
          <w:rFonts w:eastAsia="Times New Roman"/>
          <w:b/>
          <w:color w:val="000000"/>
          <w:u w:color="000000"/>
        </w:rPr>
        <w:t xml:space="preserve"> </w:t>
      </w:r>
      <w:r>
        <w:rPr>
          <w:rStyle w:val="None"/>
          <w:rFonts w:eastAsia="Times New Roman"/>
          <w:color w:val="000000"/>
          <w:u w:color="000000"/>
        </w:rPr>
        <w:t xml:space="preserve">Summary of Pearson’s correlation coefficients comparing social network metrics derived from collars deployed on captive elk (this study) and wild elk </w:t>
      </w:r>
      <w:r>
        <w:rPr>
          <w:rStyle w:val="None"/>
          <w:rFonts w:eastAsia="Times New Roman"/>
          <w:color w:val="000000"/>
          <w:u w:color="000000"/>
        </w:rPr>
        <w:fldChar w:fldCharType="begin" w:fldLock="1"/>
      </w:r>
      <w:r w:rsidR="008E5F1A">
        <w:rPr>
          <w:rStyle w:val="None"/>
          <w:rFonts w:eastAsia="Times New Roman"/>
          <w:color w:val="000000"/>
          <w:u w:color="000000"/>
        </w:rPr>
        <w:instrText>ADDIN CSL_CITATION { "citationItems" : [ { "id" : "ITEM-1", "itemData" : { "DOI" : "10.1139/cjz-2012-0237", "ISBN" : "0008-4301", "ISSN" : "0008-4301", "abstract" : "Structure in sociality is known to relate to intrinsic and extrinsic factors. Less understood are the mechanics of sociality expressed as fine-scale behaviours that maintain hierarchies, mediate competition, or transmit pathogens. A recent novel approach to quantifying fine-scale social behaviour has been to use proximity-logging biotelemetry collars. This technol- ogy continuously records data whenever collars are within a predefined distance of each other, at times of day, and in habitats where traditional ethological approaches to focal-individual sampling of behaviours are unfeasible. We tested a series of expectations on fine-scale (\u22641.4 m) interaction rates and durations consistent with competing hypotheses of seasonal and sexual segregation for elk (Cervus canadensis Erxleben, 1777). Female\u2013female dyads interacted 4 times more frequently than male\u2013male dyads (mean interaction rate per year: female\u2013female = 62 vs. male\u2013male = 14; P &lt; 0.001), and male\u2013male interactions were 1.5 times longer in duration than female\u2013female interactions (mean interaction length: female\u2013female = 30 s vs. male\u2013male = 45 s; P &lt; 0.001). We propose that fine-scale interactions among members of a population can be modeled as a trade-off between the frequency (quantity) and the duration (quality) of interactions. Our results have implications for understanding sex-based differences in sociality in gregarious herbivores and for disease transmission, which may follow from social intercourse.", "author" : [ { "dropping-particle" : "", "family" : "Wal", "given" : "E.", "non-dropping-particle" : "Vander", "parse-names" : false, "suffix" : "" }, { "dropping-particle" : "", "family" : "Paquet", "given" : "P.C.", "non-dropping-particle" : "", "parse-names" : false, "suffix" : "" }, { "dropping-particle" : "", "family" : "Messier", "given" : "F.", "non-dropping-particle" : "", "parse-names" : false, "suffix" : "" }, { "dropping-particle" : "", "family" : "Mcloughlin", "given" : "P.D.", "non-dropping-particle" : "", "parse-names" : false, "suffix" : "" } ], "container-title" : "Canadian Journal of Zoology", "id" : "ITEM-1", "issued" : { "date-parts" : [ [ "2013" ] ] }, "page" : "601-609", "title" : "Effects of phenology and sex on social proximity in a gregarious ungulate", "type" : "article-journal", "volume" : "91" }, "uris" : [ "http://www.mendeley.com/documents/?uuid=ee2c2fb4-2abf-484a-befb-2e43b5342555" ] } ], "mendeley" : { "formattedCitation" : "(1)", "manualFormatting" : "[1]", "plainTextFormattedCitation" : "(1)", "previouslyFormattedCitation" : "(1)" }, "properties" : {  }, "schema" : "https://github.com/citation-style-language/schema/raw/master/csl-citation.json" }</w:instrText>
      </w:r>
      <w:r>
        <w:rPr>
          <w:rStyle w:val="None"/>
          <w:rFonts w:eastAsia="Times New Roman"/>
          <w:color w:val="000000"/>
          <w:u w:color="000000"/>
        </w:rPr>
        <w:fldChar w:fldCharType="separate"/>
      </w:r>
      <w:r w:rsidR="008E5F1A">
        <w:rPr>
          <w:rStyle w:val="None"/>
          <w:rFonts w:eastAsia="Times New Roman"/>
          <w:noProof/>
          <w:color w:val="000000"/>
          <w:u w:color="000000"/>
        </w:rPr>
        <w:t>[</w:t>
      </w:r>
      <w:r w:rsidRPr="007E2BD3">
        <w:rPr>
          <w:rStyle w:val="None"/>
          <w:rFonts w:eastAsia="Times New Roman"/>
          <w:noProof/>
          <w:color w:val="000000"/>
          <w:u w:color="000000"/>
        </w:rPr>
        <w:t>1</w:t>
      </w:r>
      <w:r w:rsidR="008E5F1A">
        <w:rPr>
          <w:rStyle w:val="None"/>
          <w:rFonts w:eastAsia="Times New Roman"/>
          <w:noProof/>
          <w:color w:val="000000"/>
          <w:u w:color="000000"/>
        </w:rPr>
        <w:t>]</w:t>
      </w:r>
      <w:r>
        <w:rPr>
          <w:rStyle w:val="None"/>
          <w:rFonts w:eastAsia="Times New Roman"/>
          <w:color w:val="000000"/>
          <w:u w:color="000000"/>
        </w:rPr>
        <w:fldChar w:fldCharType="end"/>
      </w:r>
      <w:r>
        <w:rPr>
          <w:rStyle w:val="None"/>
          <w:rFonts w:eastAsia="Times New Roman"/>
          <w:color w:val="000000"/>
          <w:u w:color="000000"/>
        </w:rPr>
        <w:t>. Note, no significant relationship between network metrics calculated in different systems.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3005"/>
        <w:gridCol w:w="2097"/>
      </w:tblGrid>
      <w:tr w:rsidR="007E2BD3" w:rsidTr="007C2845">
        <w:tc>
          <w:tcPr>
            <w:tcW w:w="1980" w:type="dxa"/>
            <w:tcBorders>
              <w:left w:val="nil"/>
            </w:tcBorders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</w:p>
        </w:tc>
        <w:tc>
          <w:tcPr>
            <w:tcW w:w="2268" w:type="dxa"/>
          </w:tcPr>
          <w:p w:rsidR="007E2BD3" w:rsidRPr="0039328E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b/>
                <w:color w:val="000000"/>
                <w:u w:color="000000"/>
              </w:rPr>
            </w:pPr>
            <w:r w:rsidRPr="0039328E">
              <w:rPr>
                <w:rStyle w:val="None"/>
                <w:rFonts w:eastAsia="Times New Roman"/>
                <w:b/>
                <w:color w:val="000000"/>
                <w:u w:color="000000"/>
              </w:rPr>
              <w:t>Graph strength</w:t>
            </w:r>
          </w:p>
        </w:tc>
        <w:tc>
          <w:tcPr>
            <w:tcW w:w="3005" w:type="dxa"/>
          </w:tcPr>
          <w:p w:rsidR="007E2BD3" w:rsidRPr="0039328E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b/>
                <w:color w:val="000000"/>
                <w:u w:color="000000"/>
              </w:rPr>
            </w:pPr>
            <w:r w:rsidRPr="0039328E">
              <w:rPr>
                <w:rStyle w:val="None"/>
                <w:rFonts w:eastAsia="Times New Roman"/>
                <w:b/>
                <w:color w:val="000000"/>
                <w:u w:color="000000"/>
              </w:rPr>
              <w:t>Eigenvector centrality</w:t>
            </w:r>
          </w:p>
        </w:tc>
        <w:tc>
          <w:tcPr>
            <w:tcW w:w="2097" w:type="dxa"/>
            <w:tcBorders>
              <w:right w:val="nil"/>
            </w:tcBorders>
          </w:tcPr>
          <w:p w:rsidR="007E2BD3" w:rsidRPr="0039328E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b/>
                <w:color w:val="000000"/>
                <w:u w:color="000000"/>
              </w:rPr>
            </w:pPr>
            <w:r w:rsidRPr="0039328E">
              <w:rPr>
                <w:rStyle w:val="None"/>
                <w:rFonts w:eastAsia="Times New Roman"/>
                <w:b/>
                <w:color w:val="000000"/>
                <w:u w:color="000000"/>
              </w:rPr>
              <w:t>Degree</w:t>
            </w:r>
          </w:p>
        </w:tc>
      </w:tr>
      <w:tr w:rsidR="007E2BD3" w:rsidTr="007C2845">
        <w:tc>
          <w:tcPr>
            <w:tcW w:w="1980" w:type="dxa"/>
            <w:tcBorders>
              <w:left w:val="nil"/>
            </w:tcBorders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High density</w:t>
            </w:r>
          </w:p>
        </w:tc>
        <w:tc>
          <w:tcPr>
            <w:tcW w:w="2268" w:type="dxa"/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r = –0.14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t</w:t>
            </w:r>
            <w:r>
              <w:rPr>
                <w:rStyle w:val="None"/>
                <w:rFonts w:eastAsia="Times New Roman"/>
                <w:color w:val="000000"/>
                <w:u w:color="000000"/>
                <w:vertAlign w:val="subscript"/>
              </w:rPr>
              <w:t>24</w:t>
            </w:r>
            <w:r>
              <w:rPr>
                <w:rStyle w:val="None"/>
                <w:rFonts w:eastAsia="Times New Roman"/>
                <w:color w:val="000000"/>
                <w:u w:color="000000"/>
              </w:rPr>
              <w:t xml:space="preserve"> = –0.71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p = 0.48</w:t>
            </w:r>
          </w:p>
        </w:tc>
        <w:tc>
          <w:tcPr>
            <w:tcW w:w="3005" w:type="dxa"/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r = –0.31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t</w:t>
            </w:r>
            <w:r>
              <w:rPr>
                <w:rStyle w:val="None"/>
                <w:rFonts w:eastAsia="Times New Roman"/>
                <w:color w:val="000000"/>
                <w:u w:color="000000"/>
                <w:vertAlign w:val="subscript"/>
              </w:rPr>
              <w:t>24</w:t>
            </w:r>
            <w:r>
              <w:rPr>
                <w:rStyle w:val="None"/>
                <w:rFonts w:eastAsia="Times New Roman"/>
                <w:color w:val="000000"/>
                <w:u w:color="000000"/>
              </w:rPr>
              <w:t xml:space="preserve"> = –1.6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p = 0.11</w:t>
            </w:r>
          </w:p>
        </w:tc>
        <w:tc>
          <w:tcPr>
            <w:tcW w:w="2097" w:type="dxa"/>
            <w:tcBorders>
              <w:right w:val="nil"/>
            </w:tcBorders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r = –0.19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t</w:t>
            </w:r>
            <w:r>
              <w:rPr>
                <w:rStyle w:val="None"/>
                <w:rFonts w:eastAsia="Times New Roman"/>
                <w:color w:val="000000"/>
                <w:u w:color="000000"/>
                <w:vertAlign w:val="subscript"/>
              </w:rPr>
              <w:t>24</w:t>
            </w:r>
            <w:r>
              <w:rPr>
                <w:rStyle w:val="None"/>
                <w:rFonts w:eastAsia="Times New Roman"/>
                <w:color w:val="000000"/>
                <w:u w:color="000000"/>
              </w:rPr>
              <w:t xml:space="preserve"> = –0.99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p = 0.32</w:t>
            </w:r>
          </w:p>
        </w:tc>
      </w:tr>
      <w:tr w:rsidR="007E2BD3" w:rsidTr="007C2845">
        <w:tc>
          <w:tcPr>
            <w:tcW w:w="1980" w:type="dxa"/>
            <w:tcBorders>
              <w:left w:val="nil"/>
            </w:tcBorders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Medium density</w:t>
            </w:r>
          </w:p>
        </w:tc>
        <w:tc>
          <w:tcPr>
            <w:tcW w:w="2268" w:type="dxa"/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r = 0.02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t</w:t>
            </w:r>
            <w:r>
              <w:rPr>
                <w:rStyle w:val="None"/>
                <w:rFonts w:eastAsia="Times New Roman"/>
                <w:color w:val="000000"/>
                <w:u w:color="000000"/>
                <w:vertAlign w:val="subscript"/>
              </w:rPr>
              <w:t>24</w:t>
            </w:r>
            <w:r>
              <w:rPr>
                <w:rStyle w:val="None"/>
                <w:rFonts w:eastAsia="Times New Roman"/>
                <w:color w:val="000000"/>
                <w:u w:color="000000"/>
              </w:rPr>
              <w:t xml:space="preserve"> = 0.10</w:t>
            </w:r>
          </w:p>
          <w:p w:rsidR="007E2BD3" w:rsidRPr="00177D09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p = 0.92</w:t>
            </w:r>
          </w:p>
        </w:tc>
        <w:tc>
          <w:tcPr>
            <w:tcW w:w="3005" w:type="dxa"/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r = 0.11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t</w:t>
            </w:r>
            <w:r>
              <w:rPr>
                <w:rStyle w:val="None"/>
                <w:rFonts w:eastAsia="Times New Roman"/>
                <w:color w:val="000000"/>
                <w:u w:color="000000"/>
                <w:vertAlign w:val="subscript"/>
              </w:rPr>
              <w:t>24</w:t>
            </w:r>
            <w:r>
              <w:rPr>
                <w:rStyle w:val="None"/>
                <w:rFonts w:eastAsia="Times New Roman"/>
                <w:color w:val="000000"/>
                <w:u w:color="000000"/>
              </w:rPr>
              <w:t xml:space="preserve"> = 0.56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p = 0.57</w:t>
            </w:r>
          </w:p>
        </w:tc>
        <w:tc>
          <w:tcPr>
            <w:tcW w:w="2097" w:type="dxa"/>
            <w:tcBorders>
              <w:right w:val="nil"/>
            </w:tcBorders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r = –0.33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t</w:t>
            </w:r>
            <w:r>
              <w:rPr>
                <w:rStyle w:val="None"/>
                <w:rFonts w:eastAsia="Times New Roman"/>
                <w:color w:val="000000"/>
                <w:u w:color="000000"/>
                <w:vertAlign w:val="subscript"/>
              </w:rPr>
              <w:t>24</w:t>
            </w:r>
            <w:r>
              <w:rPr>
                <w:rStyle w:val="None"/>
                <w:rFonts w:eastAsia="Times New Roman"/>
                <w:color w:val="000000"/>
                <w:u w:color="000000"/>
              </w:rPr>
              <w:t xml:space="preserve"> = –1.7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p = 0.09</w:t>
            </w:r>
          </w:p>
        </w:tc>
      </w:tr>
      <w:tr w:rsidR="007E2BD3" w:rsidTr="007C2845">
        <w:tc>
          <w:tcPr>
            <w:tcW w:w="1980" w:type="dxa"/>
            <w:tcBorders>
              <w:left w:val="nil"/>
            </w:tcBorders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Low density</w:t>
            </w:r>
          </w:p>
        </w:tc>
        <w:tc>
          <w:tcPr>
            <w:tcW w:w="2268" w:type="dxa"/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r = –0.02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t</w:t>
            </w:r>
            <w:r>
              <w:rPr>
                <w:rStyle w:val="None"/>
                <w:rFonts w:eastAsia="Times New Roman"/>
                <w:color w:val="000000"/>
                <w:u w:color="000000"/>
                <w:vertAlign w:val="subscript"/>
              </w:rPr>
              <w:t>24</w:t>
            </w:r>
            <w:r>
              <w:rPr>
                <w:rStyle w:val="None"/>
                <w:rFonts w:eastAsia="Times New Roman"/>
                <w:color w:val="000000"/>
                <w:u w:color="000000"/>
              </w:rPr>
              <w:t xml:space="preserve"> = –0.09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p = 0.93</w:t>
            </w:r>
          </w:p>
        </w:tc>
        <w:tc>
          <w:tcPr>
            <w:tcW w:w="3005" w:type="dxa"/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r = –0.06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t</w:t>
            </w:r>
            <w:r>
              <w:rPr>
                <w:rStyle w:val="None"/>
                <w:rFonts w:eastAsia="Times New Roman"/>
                <w:color w:val="000000"/>
                <w:u w:color="000000"/>
                <w:vertAlign w:val="subscript"/>
              </w:rPr>
              <w:t>24</w:t>
            </w:r>
            <w:r>
              <w:rPr>
                <w:rStyle w:val="None"/>
                <w:rFonts w:eastAsia="Times New Roman"/>
                <w:color w:val="000000"/>
                <w:u w:color="000000"/>
              </w:rPr>
              <w:t xml:space="preserve"> = –0.31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p = 0.75</w:t>
            </w:r>
          </w:p>
        </w:tc>
        <w:tc>
          <w:tcPr>
            <w:tcW w:w="2097" w:type="dxa"/>
            <w:tcBorders>
              <w:right w:val="nil"/>
            </w:tcBorders>
          </w:tcPr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r = –0.12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t</w:t>
            </w:r>
            <w:r>
              <w:rPr>
                <w:rStyle w:val="None"/>
                <w:rFonts w:eastAsia="Times New Roman"/>
                <w:color w:val="000000"/>
                <w:u w:color="000000"/>
                <w:vertAlign w:val="subscript"/>
              </w:rPr>
              <w:t>24</w:t>
            </w:r>
            <w:r>
              <w:rPr>
                <w:rStyle w:val="None"/>
                <w:rFonts w:eastAsia="Times New Roman"/>
                <w:color w:val="000000"/>
                <w:u w:color="000000"/>
              </w:rPr>
              <w:t xml:space="preserve"> = –0.59</w:t>
            </w:r>
          </w:p>
          <w:p w:rsidR="007E2BD3" w:rsidRDefault="007E2BD3" w:rsidP="007C2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Style w:val="None"/>
                <w:rFonts w:eastAsia="Times New Roman"/>
                <w:color w:val="000000"/>
                <w:u w:color="000000"/>
              </w:rPr>
            </w:pPr>
            <w:r>
              <w:rPr>
                <w:rStyle w:val="None"/>
                <w:rFonts w:eastAsia="Times New Roman"/>
                <w:color w:val="000000"/>
                <w:u w:color="000000"/>
              </w:rPr>
              <w:t>p = 0.56</w:t>
            </w:r>
          </w:p>
        </w:tc>
      </w:tr>
    </w:tbl>
    <w:p w:rsidR="007E2BD3" w:rsidRDefault="007E2BD3" w:rsidP="007E2BD3">
      <w:pPr>
        <w:spacing w:line="480" w:lineRule="auto"/>
        <w:rPr>
          <w:rStyle w:val="None"/>
          <w:rFonts w:eastAsia="Times New Roman"/>
          <w:color w:val="000000"/>
          <w:u w:color="000000"/>
        </w:rPr>
      </w:pPr>
    </w:p>
    <w:p w:rsidR="007E2BD3" w:rsidRDefault="007E2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:rsidR="008E5F1A" w:rsidRPr="008E5F1A" w:rsidRDefault="008E5F1A" w:rsidP="008E5F1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b/>
        </w:rPr>
      </w:pPr>
      <w:r>
        <w:rPr>
          <w:b/>
        </w:rPr>
        <w:lastRenderedPageBreak/>
        <w:t>References</w:t>
      </w:r>
      <w:bookmarkStart w:id="0" w:name="_GoBack"/>
      <w:bookmarkEnd w:id="0"/>
    </w:p>
    <w:p w:rsidR="008E5F1A" w:rsidRPr="008E5F1A" w:rsidRDefault="007E2BD3" w:rsidP="008E5F1A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8E5F1A" w:rsidRPr="008E5F1A">
        <w:rPr>
          <w:noProof/>
        </w:rPr>
        <w:t xml:space="preserve">1. </w:t>
      </w:r>
      <w:r w:rsidR="008E5F1A" w:rsidRPr="008E5F1A">
        <w:rPr>
          <w:noProof/>
        </w:rPr>
        <w:tab/>
        <w:t xml:space="preserve">Vander Wal E, Paquet PC, Messier F, Mcloughlin PD. Effects of phenology and sex on social proximity in a gregarious ungulate. Can J Zool. 2013;91:601–9. </w:t>
      </w:r>
    </w:p>
    <w:p w:rsidR="00AD1F7F" w:rsidRDefault="007E2BD3" w:rsidP="008E5F1A">
      <w:pPr>
        <w:widowControl w:val="0"/>
        <w:autoSpaceDE w:val="0"/>
        <w:autoSpaceDN w:val="0"/>
        <w:adjustRightInd w:val="0"/>
        <w:spacing w:line="480" w:lineRule="auto"/>
        <w:ind w:left="640" w:hanging="640"/>
      </w:pPr>
      <w:r>
        <w:fldChar w:fldCharType="end"/>
      </w:r>
    </w:p>
    <w:sectPr w:rsidR="00AD1F7F" w:rsidSect="00770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D3"/>
    <w:rsid w:val="00133171"/>
    <w:rsid w:val="002055B4"/>
    <w:rsid w:val="00367133"/>
    <w:rsid w:val="006343CF"/>
    <w:rsid w:val="00734183"/>
    <w:rsid w:val="007706D6"/>
    <w:rsid w:val="007E2BD3"/>
    <w:rsid w:val="008E5F1A"/>
    <w:rsid w:val="009A573D"/>
    <w:rsid w:val="009F0C6B"/>
    <w:rsid w:val="00AD1F7F"/>
    <w:rsid w:val="00E34418"/>
    <w:rsid w:val="00F1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A128"/>
  <w15:chartTrackingRefBased/>
  <w15:docId w15:val="{0516399F-999E-B641-B2AC-3799BBAA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E2B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7E2BD3"/>
  </w:style>
  <w:style w:type="table" w:styleId="TableGrid">
    <w:name w:val="Table Grid"/>
    <w:basedOn w:val="TableNormal"/>
    <w:uiPriority w:val="39"/>
    <w:rsid w:val="007E2B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322F73-C6D5-614A-A67E-373820FA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Webber</dc:creator>
  <cp:keywords/>
  <dc:description/>
  <cp:lastModifiedBy>Quinn Webber</cp:lastModifiedBy>
  <cp:revision>2</cp:revision>
  <dcterms:created xsi:type="dcterms:W3CDTF">2018-02-21T16:55:00Z</dcterms:created>
  <dcterms:modified xsi:type="dcterms:W3CDTF">2018-02-21T16:57:00Z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http://www.zotero.org/styles/animal-behaviour</vt:lpwstr>
  </property>
  <property fmtid="{D5CDD505-2E9C-101B-9397-08002B2CF9AE}" pid="3" name="Mendeley Recent Style Name 0_1">
    <vt:lpwstr>Animal Behaviour</vt:lpwstr>
  </property>
  <property fmtid="{D5CDD505-2E9C-101B-9397-08002B2CF9AE}" pid="4" name="Mendeley Recent Style Id 1_1">
    <vt:lpwstr>http://www.zotero.org/styles/ecology</vt:lpwstr>
  </property>
  <property fmtid="{D5CDD505-2E9C-101B-9397-08002B2CF9AE}" pid="5" name="Mendeley Recent Style Name 1_1">
    <vt:lpwstr>Ecology</vt:lpwstr>
  </property>
  <property fmtid="{D5CDD505-2E9C-101B-9397-08002B2CF9AE}" pid="6" name="Mendeley Recent Style Id 2_1">
    <vt:lpwstr>http://www.zotero.org/styles/ecology-letters</vt:lpwstr>
  </property>
  <property fmtid="{D5CDD505-2E9C-101B-9397-08002B2CF9AE}" pid="7" name="Mendeley Recent Style Name 2_1">
    <vt:lpwstr>Ecology Letters</vt:lpwstr>
  </property>
  <property fmtid="{D5CDD505-2E9C-101B-9397-08002B2CF9AE}" pid="8" name="Mendeley Recent Style Id 3_1">
    <vt:lpwstr>http://www.zotero.org/styles/journal-of-animal-ecology</vt:lpwstr>
  </property>
  <property fmtid="{D5CDD505-2E9C-101B-9397-08002B2CF9AE}" pid="9" name="Mendeley Recent Style Name 3_1">
    <vt:lpwstr>Journal of Animal Ecology</vt:lpwstr>
  </property>
  <property fmtid="{D5CDD505-2E9C-101B-9397-08002B2CF9AE}" pid="10" name="Mendeley Recent Style Id 4_1">
    <vt:lpwstr>http://www.zotero.org/styles/journal-of-thermal-biology</vt:lpwstr>
  </property>
  <property fmtid="{D5CDD505-2E9C-101B-9397-08002B2CF9AE}" pid="11" name="Mendeley Recent Style Name 4_1">
    <vt:lpwstr>Journal of Thermal Biology</vt:lpwstr>
  </property>
  <property fmtid="{D5CDD505-2E9C-101B-9397-08002B2CF9AE}" pid="12" name="Mendeley Recent Style Id 5_1">
    <vt:lpwstr>http://www.zotero.org/styles/journal-of-zoology</vt:lpwstr>
  </property>
  <property fmtid="{D5CDD505-2E9C-101B-9397-08002B2CF9AE}" pid="13" name="Mendeley Recent Style Name 5_1">
    <vt:lpwstr>Journal of Zoology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http://www.zotero.org/styles/springer-basic-author-date</vt:lpwstr>
  </property>
  <property fmtid="{D5CDD505-2E9C-101B-9397-08002B2CF9AE}" pid="17" name="Mendeley Recent Style Name 7_1">
    <vt:lpwstr>Springer Basic (author-date)</vt:lpwstr>
  </property>
  <property fmtid="{D5CDD505-2E9C-101B-9397-08002B2CF9AE}" pid="18" name="Mendeley Recent Style Id 8_1">
    <vt:lpwstr>http://www.zotero.org/styles/the-american-naturalist</vt:lpwstr>
  </property>
  <property fmtid="{D5CDD505-2E9C-101B-9397-08002B2CF9AE}" pid="19" name="Mendeley Recent Style Name 8_1">
    <vt:lpwstr>The American Naturalist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64c43592-9e54-3306-ada7-0d8439623019</vt:lpwstr>
  </property>
  <property fmtid="{D5CDD505-2E9C-101B-9397-08002B2CF9AE}" pid="24" name="Mendeley Citation Style_1">
    <vt:lpwstr>http://www.zotero.org/styles/vancouver</vt:lpwstr>
  </property>
</Properties>
</file>