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7E27" w14:textId="77777777" w:rsidR="00CF6E35" w:rsidRDefault="00180BE8" w:rsidP="00180BE8">
      <w:pPr>
        <w:pStyle w:val="Title"/>
      </w:pPr>
      <w:r>
        <w:t>Supplementary file 1</w:t>
      </w:r>
    </w:p>
    <w:p w14:paraId="676A3C16" w14:textId="174965F0" w:rsidR="00180BE8" w:rsidRPr="00180BE8" w:rsidRDefault="00B14C5E" w:rsidP="00AC02C2">
      <w:pPr>
        <w:pStyle w:val="Heading1"/>
      </w:pPr>
      <w:r w:rsidRPr="00B14C5E">
        <w:t>Longitudinal changes in telomere length and associated genetic parameters in dairy cattle analysed with random regression models</w:t>
      </w:r>
    </w:p>
    <w:p w14:paraId="0B92744C" w14:textId="77777777" w:rsidR="00AC02C2" w:rsidRDefault="00AC02C2" w:rsidP="00180BE8">
      <w:pPr>
        <w:pStyle w:val="BodyA"/>
        <w:spacing w:after="0"/>
        <w:ind w:firstLine="0"/>
        <w:rPr>
          <w:rFonts w:ascii="Calibri" w:eastAsia="Calibri" w:hAnsi="Calibri" w:cs="Calibri"/>
          <w:b/>
          <w:bCs/>
          <w:lang w:val="en-GB"/>
        </w:rPr>
      </w:pPr>
    </w:p>
    <w:p w14:paraId="71900D41" w14:textId="77777777" w:rsidR="00180BE8" w:rsidRPr="00FF2B8B" w:rsidRDefault="00180BE8" w:rsidP="00180BE8">
      <w:pPr>
        <w:pStyle w:val="BodyA"/>
        <w:spacing w:after="0"/>
        <w:ind w:firstLine="0"/>
        <w:rPr>
          <w:rFonts w:ascii="Calibri" w:eastAsia="Calibri" w:hAnsi="Calibri" w:cs="Calibri"/>
          <w:b/>
          <w:bCs/>
          <w:lang w:val="en-GB"/>
        </w:rPr>
      </w:pPr>
      <w:r w:rsidRPr="00FF2B8B">
        <w:rPr>
          <w:rFonts w:ascii="Calibri" w:eastAsia="Calibri" w:hAnsi="Calibri" w:cs="Calibri"/>
          <w:b/>
          <w:bCs/>
          <w:lang w:val="en-GB"/>
        </w:rPr>
        <w:t>Authors &amp; Affiliations:</w:t>
      </w:r>
    </w:p>
    <w:p w14:paraId="14B79BCD" w14:textId="77777777" w:rsidR="00FE6FB9" w:rsidRPr="00FF2B8B" w:rsidRDefault="00FE6FB9" w:rsidP="00FE6FB9">
      <w:pPr>
        <w:pStyle w:val="BodyA"/>
        <w:spacing w:after="0"/>
        <w:ind w:firstLine="0"/>
        <w:rPr>
          <w:rFonts w:ascii="Calibri" w:eastAsia="Calibri" w:hAnsi="Calibri" w:cs="Calibri"/>
          <w:lang w:val="en-GB"/>
        </w:rPr>
      </w:pPr>
      <w:r w:rsidRPr="00FF2B8B">
        <w:rPr>
          <w:rFonts w:ascii="Calibri" w:eastAsia="Calibri" w:hAnsi="Calibri" w:cs="Calibri"/>
          <w:lang w:val="en-GB"/>
        </w:rPr>
        <w:t>Luise A. Seeker</w:t>
      </w:r>
      <w:r w:rsidRPr="00FF2B8B">
        <w:rPr>
          <w:rFonts w:ascii="Calibri" w:eastAsia="Calibri" w:hAnsi="Calibri" w:cs="Calibri"/>
          <w:vertAlign w:val="superscript"/>
          <w:lang w:val="en-GB"/>
        </w:rPr>
        <w:t>1,2</w:t>
      </w:r>
      <w:r w:rsidRPr="00FF2B8B">
        <w:rPr>
          <w:rFonts w:ascii="Calibri" w:eastAsia="Calibri" w:hAnsi="Calibri" w:cs="Calibri"/>
          <w:lang w:val="en-GB"/>
        </w:rPr>
        <w:t>*, Joanna J. Ilska</w:t>
      </w:r>
      <w:r w:rsidRPr="00FF2B8B">
        <w:rPr>
          <w:rFonts w:ascii="Calibri" w:eastAsia="Calibri" w:hAnsi="Calibri" w:cs="Calibri"/>
          <w:vertAlign w:val="superscript"/>
          <w:lang w:val="en-GB"/>
        </w:rPr>
        <w:t>1</w:t>
      </w:r>
      <w:r w:rsidRPr="00FF2B8B">
        <w:rPr>
          <w:rFonts w:ascii="Calibri" w:eastAsia="Calibri" w:hAnsi="Calibri" w:cs="Calibri"/>
          <w:lang w:val="en-GB"/>
        </w:rPr>
        <w:t xml:space="preserve">, </w:t>
      </w:r>
      <w:proofErr w:type="spellStart"/>
      <w:r w:rsidRPr="00FF2B8B">
        <w:rPr>
          <w:rFonts w:ascii="Calibri" w:eastAsia="Calibri" w:hAnsi="Calibri" w:cs="Calibri"/>
          <w:lang w:val="en-GB"/>
        </w:rPr>
        <w:t>Androniki</w:t>
      </w:r>
      <w:proofErr w:type="spellEnd"/>
      <w:r w:rsidRPr="00FF2B8B">
        <w:rPr>
          <w:rFonts w:ascii="Calibri" w:eastAsia="Calibri" w:hAnsi="Calibri" w:cs="Calibri"/>
          <w:lang w:val="en-GB"/>
        </w:rPr>
        <w:t xml:space="preserve"> Psifidi</w:t>
      </w:r>
      <w:r w:rsidRPr="00FF2B8B">
        <w:rPr>
          <w:rFonts w:ascii="Calibri" w:eastAsia="Calibri" w:hAnsi="Calibri" w:cs="Calibri"/>
          <w:vertAlign w:val="superscript"/>
          <w:lang w:val="en-GB"/>
        </w:rPr>
        <w:t>2</w:t>
      </w:r>
      <w:r>
        <w:rPr>
          <w:rFonts w:ascii="Calibri" w:eastAsia="Calibri" w:hAnsi="Calibri" w:cs="Calibri"/>
          <w:vertAlign w:val="superscript"/>
          <w:lang w:val="en-GB"/>
        </w:rPr>
        <w:t>,3</w:t>
      </w:r>
      <w:r w:rsidRPr="00FF2B8B">
        <w:rPr>
          <w:rFonts w:ascii="Calibri" w:eastAsia="Calibri" w:hAnsi="Calibri" w:cs="Calibri"/>
          <w:lang w:val="en-GB"/>
        </w:rPr>
        <w:t>, Rachael V. Wilbourn</w:t>
      </w:r>
      <w:r>
        <w:rPr>
          <w:rFonts w:ascii="Calibri" w:eastAsia="Calibri" w:hAnsi="Calibri" w:cs="Calibri"/>
          <w:vertAlign w:val="superscript"/>
          <w:lang w:val="en-GB"/>
        </w:rPr>
        <w:t>4</w:t>
      </w:r>
      <w:r w:rsidRPr="00FF2B8B">
        <w:rPr>
          <w:rFonts w:ascii="Calibri" w:eastAsia="Calibri" w:hAnsi="Calibri" w:cs="Calibri"/>
          <w:lang w:val="en-GB"/>
        </w:rPr>
        <w:t>,  Sarah L. Underwood</w:t>
      </w:r>
      <w:r>
        <w:rPr>
          <w:rFonts w:ascii="Calibri" w:eastAsia="Calibri" w:hAnsi="Calibri" w:cs="Calibri"/>
          <w:vertAlign w:val="superscript"/>
          <w:lang w:val="en-GB"/>
        </w:rPr>
        <w:t>4</w:t>
      </w:r>
      <w:r w:rsidRPr="00FF2B8B">
        <w:rPr>
          <w:rFonts w:ascii="Calibri" w:eastAsia="Calibri" w:hAnsi="Calibri" w:cs="Calibri"/>
          <w:lang w:val="en-GB"/>
        </w:rPr>
        <w:t>, Jennifer Fairlie</w:t>
      </w:r>
      <w:r>
        <w:rPr>
          <w:rFonts w:ascii="Calibri" w:eastAsia="Calibri" w:hAnsi="Calibri" w:cs="Calibri"/>
          <w:vertAlign w:val="superscript"/>
          <w:lang w:val="en-GB"/>
        </w:rPr>
        <w:t>4</w:t>
      </w:r>
      <w:r w:rsidRPr="00FF2B8B">
        <w:rPr>
          <w:rFonts w:ascii="Calibri" w:eastAsia="Calibri" w:hAnsi="Calibri" w:cs="Calibri"/>
          <w:lang w:val="en-GB"/>
        </w:rPr>
        <w:t xml:space="preserve">, Rebecca </w:t>
      </w:r>
      <w:r w:rsidRPr="00FF2B8B">
        <w:rPr>
          <w:rFonts w:asciiTheme="minorHAnsi" w:eastAsia="Calibri" w:hAnsiTheme="minorHAnsi" w:cs="Calibri"/>
          <w:color w:val="auto"/>
          <w:lang w:val="en-GB"/>
        </w:rPr>
        <w:t>Holland</w:t>
      </w:r>
      <w:r>
        <w:rPr>
          <w:rFonts w:asciiTheme="minorHAnsi" w:eastAsia="Calibri" w:hAnsiTheme="minorHAnsi" w:cs="Calibri"/>
          <w:color w:val="auto"/>
          <w:vertAlign w:val="superscript"/>
          <w:lang w:val="en-GB"/>
        </w:rPr>
        <w:t>4</w:t>
      </w:r>
      <w:r w:rsidRPr="00FF2B8B">
        <w:rPr>
          <w:rFonts w:asciiTheme="minorHAnsi" w:eastAsia="Calibri" w:hAnsiTheme="minorHAnsi" w:cs="Calibri"/>
          <w:color w:val="auto"/>
          <w:lang w:val="en-GB"/>
        </w:rPr>
        <w:t>,</w:t>
      </w:r>
      <w:r w:rsidRPr="00FF2B8B">
        <w:rPr>
          <w:rFonts w:asciiTheme="minorHAnsi" w:eastAsia="Calibri" w:hAnsiTheme="minorHAnsi" w:cs="Calibri"/>
          <w:color w:val="auto"/>
          <w:vertAlign w:val="superscript"/>
          <w:lang w:val="en-GB"/>
        </w:rPr>
        <w:t xml:space="preserve"> </w:t>
      </w:r>
      <w:r w:rsidRPr="00FF2B8B">
        <w:rPr>
          <w:rFonts w:ascii="Calibri" w:eastAsia="Calibri" w:hAnsi="Calibri" w:cs="Calibri"/>
          <w:lang w:val="en-GB"/>
        </w:rPr>
        <w:t>Hannah Froy</w:t>
      </w:r>
      <w:r>
        <w:rPr>
          <w:rFonts w:ascii="Calibri" w:eastAsia="Calibri" w:hAnsi="Calibri" w:cs="Calibri"/>
          <w:vertAlign w:val="superscript"/>
          <w:lang w:val="en-GB"/>
        </w:rPr>
        <w:t>4</w:t>
      </w:r>
      <w:r w:rsidRPr="00FF2B8B">
        <w:rPr>
          <w:rFonts w:asciiTheme="minorHAnsi" w:eastAsia="Calibri" w:hAnsiTheme="minorHAnsi" w:cs="Calibri"/>
          <w:color w:val="auto"/>
          <w:lang w:val="en-GB"/>
        </w:rPr>
        <w:t>,</w:t>
      </w:r>
      <w:r w:rsidRPr="00FF2B8B">
        <w:rPr>
          <w:rFonts w:asciiTheme="minorHAnsi" w:eastAsia="Calibri" w:hAnsiTheme="minorHAnsi" w:cs="Calibri"/>
          <w:color w:val="auto"/>
          <w:vertAlign w:val="superscript"/>
          <w:lang w:val="en-GB"/>
        </w:rPr>
        <w:t xml:space="preserve"> </w:t>
      </w:r>
      <w:r w:rsidRPr="00FF2B8B">
        <w:rPr>
          <w:rFonts w:asciiTheme="minorHAnsi" w:eastAsia="Calibri" w:hAnsiTheme="minorHAnsi" w:cs="Calibri"/>
          <w:color w:val="auto"/>
          <w:lang w:val="en-GB"/>
        </w:rPr>
        <w:t>Ainsley</w:t>
      </w:r>
      <w:r w:rsidRPr="00FF2B8B">
        <w:rPr>
          <w:rFonts w:ascii="Calibri" w:eastAsia="Calibri" w:hAnsi="Calibri" w:cs="Calibri"/>
          <w:color w:val="auto"/>
          <w:lang w:val="en-GB"/>
        </w:rPr>
        <w:t xml:space="preserve"> </w:t>
      </w:r>
      <w:r w:rsidRPr="00FF2B8B">
        <w:rPr>
          <w:rFonts w:ascii="Calibri" w:eastAsia="Calibri" w:hAnsi="Calibri" w:cs="Calibri"/>
          <w:lang w:val="en-GB"/>
        </w:rPr>
        <w:t>Bagnall</w:t>
      </w:r>
      <w:r>
        <w:rPr>
          <w:rFonts w:ascii="Calibri" w:eastAsia="Calibri" w:hAnsi="Calibri" w:cs="Calibri"/>
          <w:vertAlign w:val="superscript"/>
          <w:lang w:val="en-GB"/>
        </w:rPr>
        <w:t>5</w:t>
      </w:r>
      <w:r w:rsidRPr="00FF2B8B">
        <w:rPr>
          <w:rFonts w:ascii="Calibri" w:eastAsia="Calibri" w:hAnsi="Calibri" w:cs="Calibri"/>
          <w:lang w:val="en-GB"/>
        </w:rPr>
        <w:t>, Bruce Whitelaw</w:t>
      </w:r>
      <w:r w:rsidRPr="00FF2B8B">
        <w:rPr>
          <w:rFonts w:ascii="Calibri" w:eastAsia="Calibri" w:hAnsi="Calibri" w:cs="Calibri"/>
          <w:vertAlign w:val="superscript"/>
          <w:lang w:val="en-GB"/>
        </w:rPr>
        <w:t>2</w:t>
      </w:r>
      <w:r w:rsidRPr="00FF2B8B">
        <w:rPr>
          <w:rFonts w:ascii="Calibri" w:eastAsia="Calibri" w:hAnsi="Calibri" w:cs="Calibri"/>
          <w:lang w:val="en-GB"/>
        </w:rPr>
        <w:t>, Mike Coffey</w:t>
      </w:r>
      <w:r w:rsidRPr="00FF2B8B">
        <w:rPr>
          <w:rFonts w:ascii="Calibri" w:eastAsia="Calibri" w:hAnsi="Calibri" w:cs="Calibri"/>
          <w:vertAlign w:val="superscript"/>
          <w:lang w:val="en-GB"/>
        </w:rPr>
        <w:t>1</w:t>
      </w:r>
      <w:r w:rsidRPr="00FF2B8B">
        <w:rPr>
          <w:rFonts w:ascii="Calibri" w:eastAsia="Calibri" w:hAnsi="Calibri" w:cs="Calibri"/>
          <w:lang w:val="en-GB"/>
        </w:rPr>
        <w:t>, Daniel H. Nussey</w:t>
      </w:r>
      <w:r>
        <w:rPr>
          <w:rFonts w:ascii="Calibri" w:eastAsia="Calibri" w:hAnsi="Calibri" w:cs="Calibri"/>
          <w:vertAlign w:val="superscript"/>
          <w:lang w:val="en-GB"/>
        </w:rPr>
        <w:t>4</w:t>
      </w:r>
      <w:r w:rsidRPr="00FF2B8B">
        <w:rPr>
          <w:rFonts w:ascii="Calibri" w:eastAsia="Calibri" w:hAnsi="Calibri" w:cs="Calibri"/>
          <w:vertAlign w:val="superscript"/>
          <w:lang w:val="en-GB"/>
        </w:rPr>
        <w:t xml:space="preserve"> </w:t>
      </w:r>
      <w:r w:rsidRPr="00FF2B8B">
        <w:rPr>
          <w:rFonts w:ascii="Calibri" w:eastAsia="Calibri" w:hAnsi="Calibri" w:cs="Calibri"/>
          <w:lang w:val="en-GB"/>
        </w:rPr>
        <w:t>&amp; Georgios Banos</w:t>
      </w:r>
      <w:r w:rsidRPr="00FF2B8B">
        <w:rPr>
          <w:rFonts w:ascii="Calibri" w:eastAsia="Calibri" w:hAnsi="Calibri" w:cs="Calibri"/>
          <w:vertAlign w:val="superscript"/>
          <w:lang w:val="en-GB"/>
        </w:rPr>
        <w:t>1,2</w:t>
      </w:r>
    </w:p>
    <w:p w14:paraId="62E0C8BC" w14:textId="77777777" w:rsidR="00FE6FB9" w:rsidRPr="00FF2B8B" w:rsidRDefault="00FE6FB9" w:rsidP="00FE6FB9">
      <w:pPr>
        <w:pStyle w:val="BodyA"/>
        <w:spacing w:after="0"/>
        <w:ind w:firstLine="0"/>
        <w:rPr>
          <w:rFonts w:ascii="Calibri" w:eastAsia="Calibri" w:hAnsi="Calibri" w:cs="Calibri"/>
          <w:lang w:val="en-GB"/>
        </w:rPr>
      </w:pPr>
    </w:p>
    <w:p w14:paraId="6481C485" w14:textId="77777777" w:rsidR="00FE6FB9" w:rsidRPr="00FF2B8B" w:rsidRDefault="00FE6FB9" w:rsidP="00FE6FB9">
      <w:pPr>
        <w:pStyle w:val="BodyA"/>
        <w:spacing w:after="0"/>
        <w:ind w:firstLine="0"/>
        <w:rPr>
          <w:rFonts w:ascii="Calibri" w:eastAsia="Calibri" w:hAnsi="Calibri" w:cs="Calibri"/>
          <w:lang w:val="en-GB"/>
        </w:rPr>
      </w:pPr>
      <w:r w:rsidRPr="00FF2B8B">
        <w:rPr>
          <w:rFonts w:ascii="Calibri" w:eastAsia="Calibri" w:hAnsi="Calibri" w:cs="Calibri"/>
          <w:vertAlign w:val="superscript"/>
          <w:lang w:val="en-GB"/>
        </w:rPr>
        <w:t>1</w:t>
      </w:r>
      <w:r w:rsidRPr="00FF2B8B">
        <w:rPr>
          <w:rFonts w:ascii="Calibri" w:eastAsia="Calibri" w:hAnsi="Calibri" w:cs="Calibri"/>
          <w:lang w:val="en-GB"/>
        </w:rPr>
        <w:t xml:space="preserve"> Animal &amp; Veterinary Sciences, SRUC, Roslin Institute Building, Easter Bush, Midlothian</w:t>
      </w:r>
      <w:r>
        <w:rPr>
          <w:rFonts w:ascii="Calibri" w:eastAsia="Calibri" w:hAnsi="Calibri" w:cs="Calibri"/>
          <w:lang w:val="en-GB"/>
        </w:rPr>
        <w:t>, UK</w:t>
      </w:r>
    </w:p>
    <w:p w14:paraId="615D07C5" w14:textId="77777777" w:rsidR="00FE6FB9" w:rsidRDefault="00FE6FB9" w:rsidP="00FE6FB9">
      <w:pPr>
        <w:pStyle w:val="BodyA"/>
        <w:spacing w:after="0"/>
        <w:ind w:firstLine="0"/>
        <w:rPr>
          <w:rFonts w:ascii="Calibri" w:hAnsi="Calibri"/>
          <w:lang w:val="en-GB"/>
        </w:rPr>
      </w:pPr>
      <w:r w:rsidRPr="00FF2B8B">
        <w:rPr>
          <w:rFonts w:ascii="Calibri" w:eastAsia="Calibri" w:hAnsi="Calibri" w:cs="Calibri"/>
          <w:vertAlign w:val="superscript"/>
          <w:lang w:val="en-GB"/>
        </w:rPr>
        <w:t>2</w:t>
      </w:r>
      <w:r w:rsidRPr="00FF2B8B">
        <w:rPr>
          <w:rFonts w:ascii="Calibri" w:eastAsia="Calibri" w:hAnsi="Calibri" w:cs="Calibri"/>
          <w:lang w:val="en-GB"/>
        </w:rPr>
        <w:t xml:space="preserve"> </w:t>
      </w:r>
      <w:r w:rsidRPr="00FF2B8B">
        <w:rPr>
          <w:rFonts w:ascii="Calibri" w:hAnsi="Calibri"/>
          <w:lang w:val="en-GB"/>
        </w:rPr>
        <w:t>The Roslin Institute and Royal (Dick) School of Veterinary Studies, University of Edinburgh, Easter Bush, Midlothian, UK</w:t>
      </w:r>
    </w:p>
    <w:p w14:paraId="48FFE828" w14:textId="77777777" w:rsidR="00FE6FB9" w:rsidRPr="00FF2B8B" w:rsidRDefault="00FE6FB9" w:rsidP="00FE6FB9">
      <w:pPr>
        <w:pStyle w:val="BodyA"/>
        <w:spacing w:after="0"/>
        <w:ind w:firstLine="0"/>
        <w:rPr>
          <w:rFonts w:ascii="Calibri" w:eastAsia="Calibri" w:hAnsi="Calibri" w:cs="Calibri"/>
          <w:lang w:val="en-GB"/>
        </w:rPr>
      </w:pPr>
      <w:r w:rsidRPr="00FF2B8B">
        <w:rPr>
          <w:rFonts w:ascii="Calibri" w:eastAsia="Calibri" w:hAnsi="Calibri" w:cs="Calibri"/>
          <w:vertAlign w:val="superscript"/>
          <w:lang w:val="en-GB"/>
        </w:rPr>
        <w:t>3</w:t>
      </w:r>
      <w:r>
        <w:rPr>
          <w:rFonts w:ascii="Calibri" w:eastAsia="Calibri" w:hAnsi="Calibri" w:cs="Calibri"/>
          <w:vertAlign w:val="superscript"/>
          <w:lang w:val="en-GB"/>
        </w:rPr>
        <w:t xml:space="preserve"> </w:t>
      </w:r>
      <w:r>
        <w:rPr>
          <w:rFonts w:ascii="Calibri" w:hAnsi="Calibri"/>
        </w:rPr>
        <w:t xml:space="preserve">Royal Veterinary </w:t>
      </w:r>
      <w:proofErr w:type="gramStart"/>
      <w:r>
        <w:rPr>
          <w:rFonts w:ascii="Calibri" w:hAnsi="Calibri"/>
        </w:rPr>
        <w:t>College</w:t>
      </w:r>
      <w:proofErr w:type="gramEnd"/>
      <w:r>
        <w:rPr>
          <w:rFonts w:ascii="Calibri" w:hAnsi="Calibri"/>
        </w:rPr>
        <w:t>,</w:t>
      </w:r>
      <w:r w:rsidRPr="008921B6">
        <w:rPr>
          <w:rFonts w:ascii="Calibri" w:hAnsi="Calibri"/>
        </w:rPr>
        <w:t xml:space="preserve"> University of London, Hatfield, UK</w:t>
      </w:r>
    </w:p>
    <w:p w14:paraId="1C7A2D56" w14:textId="77777777" w:rsidR="00FE6FB9" w:rsidRPr="00FF2B8B" w:rsidRDefault="00FE6FB9" w:rsidP="00FE6FB9">
      <w:pPr>
        <w:pStyle w:val="BodyA"/>
        <w:spacing w:after="0"/>
        <w:ind w:firstLine="0"/>
        <w:rPr>
          <w:rFonts w:ascii="Calibri" w:eastAsia="Calibri" w:hAnsi="Calibri" w:cs="Calibri"/>
          <w:lang w:val="en-GB"/>
        </w:rPr>
      </w:pPr>
      <w:r>
        <w:rPr>
          <w:rFonts w:ascii="Calibri" w:eastAsia="Calibri" w:hAnsi="Calibri" w:cs="Calibri"/>
          <w:vertAlign w:val="superscript"/>
          <w:lang w:val="en-GB"/>
        </w:rPr>
        <w:t>4</w:t>
      </w:r>
      <w:r w:rsidRPr="00FF2B8B">
        <w:rPr>
          <w:rFonts w:ascii="Calibri" w:eastAsia="Calibri" w:hAnsi="Calibri" w:cs="Calibri"/>
          <w:lang w:val="en-GB"/>
        </w:rPr>
        <w:t xml:space="preserve"> Institute of Evolutionary Biology, School of Biological Sciences, University of Edinburgh, Edinburgh, Midlothian, UK</w:t>
      </w:r>
    </w:p>
    <w:p w14:paraId="1629F7D0" w14:textId="77777777" w:rsidR="00FE6FB9" w:rsidRPr="00FF2B8B" w:rsidRDefault="00FE6FB9" w:rsidP="00FE6FB9">
      <w:pPr>
        <w:pStyle w:val="BodyA"/>
        <w:spacing w:after="0"/>
        <w:ind w:firstLine="0"/>
        <w:rPr>
          <w:rFonts w:ascii="Calibri" w:eastAsia="Calibri" w:hAnsi="Calibri" w:cs="Calibri"/>
          <w:lang w:val="en-GB"/>
        </w:rPr>
      </w:pPr>
      <w:r>
        <w:rPr>
          <w:rFonts w:ascii="Calibri" w:eastAsia="Calibri" w:hAnsi="Calibri" w:cs="Calibri"/>
          <w:vertAlign w:val="superscript"/>
          <w:lang w:val="en-GB"/>
        </w:rPr>
        <w:t>5</w:t>
      </w:r>
      <w:r w:rsidRPr="00FF2B8B">
        <w:rPr>
          <w:rFonts w:ascii="Calibri" w:eastAsia="Calibri" w:hAnsi="Calibri" w:cs="Calibri"/>
          <w:lang w:val="en-GB"/>
        </w:rPr>
        <w:t xml:space="preserve"> SRUC Crichton Royal Farm, </w:t>
      </w:r>
      <w:proofErr w:type="spellStart"/>
      <w:r w:rsidRPr="00FF2B8B">
        <w:rPr>
          <w:rFonts w:ascii="Calibri" w:eastAsia="Calibri" w:hAnsi="Calibri" w:cs="Calibri"/>
          <w:lang w:val="en-GB"/>
        </w:rPr>
        <w:t>Glencaple</w:t>
      </w:r>
      <w:proofErr w:type="spellEnd"/>
      <w:r w:rsidRPr="00FF2B8B">
        <w:rPr>
          <w:rFonts w:ascii="Calibri" w:eastAsia="Calibri" w:hAnsi="Calibri" w:cs="Calibri"/>
          <w:lang w:val="en-GB"/>
        </w:rPr>
        <w:t xml:space="preserve"> Road, Dumfries, UK</w:t>
      </w:r>
    </w:p>
    <w:p w14:paraId="007B1D64" w14:textId="77777777" w:rsidR="00180BE8" w:rsidRPr="00FF2B8B" w:rsidRDefault="00180BE8" w:rsidP="00180BE8">
      <w:pPr>
        <w:spacing w:line="480" w:lineRule="auto"/>
      </w:pPr>
    </w:p>
    <w:p w14:paraId="0E2337C2" w14:textId="77777777" w:rsidR="00180BE8" w:rsidRPr="00FF2B8B" w:rsidRDefault="00180BE8" w:rsidP="00180BE8">
      <w:pPr>
        <w:spacing w:line="480" w:lineRule="auto"/>
      </w:pPr>
      <w:r w:rsidRPr="00FF2B8B">
        <w:t xml:space="preserve">*corresponding author: </w:t>
      </w:r>
    </w:p>
    <w:p w14:paraId="781ECA51" w14:textId="77777777" w:rsidR="00180BE8" w:rsidRPr="00FF2B8B" w:rsidRDefault="00180BE8" w:rsidP="00180BE8">
      <w:pPr>
        <w:spacing w:line="480" w:lineRule="auto"/>
      </w:pPr>
      <w:r w:rsidRPr="00FF2B8B">
        <w:t>Luise.seeker@sruc.ac.uk</w:t>
      </w:r>
      <w:r w:rsidRPr="00FF2B8B">
        <w:br/>
        <w:t>+447591133397</w:t>
      </w:r>
    </w:p>
    <w:p w14:paraId="50447DA6" w14:textId="77777777" w:rsidR="00180BE8" w:rsidRDefault="00180BE8" w:rsidP="00180BE8"/>
    <w:p w14:paraId="6E95210B" w14:textId="77777777" w:rsidR="00180BE8" w:rsidRDefault="00180BE8" w:rsidP="00180BE8"/>
    <w:p w14:paraId="6A2197BB" w14:textId="77777777" w:rsidR="00180BE8" w:rsidRDefault="00180BE8" w:rsidP="00180BE8"/>
    <w:p w14:paraId="25C6E123" w14:textId="77777777" w:rsidR="00180BE8" w:rsidRDefault="00180BE8" w:rsidP="00180BE8"/>
    <w:p w14:paraId="3AD44381" w14:textId="77777777" w:rsidR="005E6D0E" w:rsidRDefault="005E6D0E" w:rsidP="005E6D0E">
      <w:pPr>
        <w:pStyle w:val="Heading3"/>
        <w:numPr>
          <w:ilvl w:val="2"/>
          <w:numId w:val="1"/>
        </w:numPr>
        <w:spacing w:line="480" w:lineRule="auto"/>
        <w:jc w:val="both"/>
      </w:pPr>
      <w:bookmarkStart w:id="0" w:name="_Toc494238625"/>
      <w:r>
        <w:lastRenderedPageBreak/>
        <w:t>Model building</w:t>
      </w:r>
      <w:bookmarkEnd w:id="0"/>
    </w:p>
    <w:p w14:paraId="7C2E72AB" w14:textId="77777777" w:rsidR="005E6D0E" w:rsidRDefault="005E6D0E" w:rsidP="005E6D0E">
      <w:r>
        <w:t xml:space="preserve">We evolved the mixed models used in Seeker et al. (2017, in review) into random regression models. The initial model used in the previous study included the animal identity as a random effect and the following fixed effects: age group of the animal (younger or older than two months) birth year, qPCR plate on which the particular sample was measured, and the qPCR row. For the genetic analysis of RLTL in the present study we also added the genetic group of the animal as an additional fixed effect. For random regression analysis, the time measurements (age) were transformed to a continuous scale (as age in months) to facilitate the interpretation of results. </w:t>
      </w:r>
    </w:p>
    <w:p w14:paraId="1CF1FCEA" w14:textId="77777777" w:rsidR="005E6D0E" w:rsidRDefault="005E6D0E" w:rsidP="005E6D0E">
      <w:r>
        <w:t xml:space="preserve">The significance of the animal identity as random effect was tested by comparing </w:t>
      </w:r>
      <w:proofErr w:type="spellStart"/>
      <w:r>
        <w:t>Akaike</w:t>
      </w:r>
      <w:proofErr w:type="spellEnd"/>
      <w:r>
        <w:t xml:space="preserve"> information criterion (AIC) of a model that only included fixed effects with the model that also included animal identity. The delta AIC was 204.97 indicating that the random effect is statistically highly significant (Table S1). This implies that animals differ in their intercepts and thus in their average RLTL over life. Next, we added pedigree information to the animal identity and compared AIC values with the former model. The pedigree information improved the fit further (delta AIC= 55.46) (Table S1). We fitted the permanent environment as an additional random effect which seemed to have a marginally significant effect on the model fit (delta AIC = 2) (Table S1). However, the effect size of the permanent environment effect was marginal with a relatively large standard error (permanent environment effect variance =0.2 E-09, SE - standard error not estimable, compared to an additive genetic variance= 0.1 E-02, SE =1.9 E -04). We fitted the permanent environment effect to the final random regression model which caused a failure of convergence. Because of the minimal effect size of the permanent environment effect it was judged to be negligible in the present study and therefore removed from further analyses.</w:t>
      </w:r>
    </w:p>
    <w:p w14:paraId="33752B83" w14:textId="77777777" w:rsidR="0087391F" w:rsidRPr="0034075B" w:rsidRDefault="0087391F" w:rsidP="0087391F">
      <w:pPr>
        <w:pStyle w:val="Caption"/>
        <w:rPr>
          <w:b w:val="0"/>
        </w:rPr>
      </w:pPr>
      <w:bookmarkStart w:id="1" w:name="_Toc494238476"/>
      <w:r w:rsidRPr="0034075B">
        <w:t xml:space="preserve">Table </w:t>
      </w:r>
      <w:r>
        <w:t>S1</w:t>
      </w:r>
      <w:r w:rsidRPr="0034075B">
        <w:t xml:space="preserve">: Comparison of models including different random effects. Fixed effects in the model were: Age in months, genetic group, birth year, </w:t>
      </w:r>
      <w:proofErr w:type="gramStart"/>
      <w:r w:rsidRPr="0034075B">
        <w:t>qPCR</w:t>
      </w:r>
      <w:proofErr w:type="gramEnd"/>
      <w:r w:rsidRPr="0034075B">
        <w:t xml:space="preserve"> plate and qPCR row. AIC – </w:t>
      </w:r>
      <w:proofErr w:type="spellStart"/>
      <w:r w:rsidRPr="0034075B">
        <w:t>Akaike</w:t>
      </w:r>
      <w:proofErr w:type="spellEnd"/>
      <w:r w:rsidRPr="0034075B">
        <w:t xml:space="preserve"> information criterion, </w:t>
      </w:r>
      <w:proofErr w:type="spellStart"/>
      <w:r w:rsidRPr="0034075B">
        <w:t>logL</w:t>
      </w:r>
      <w:proofErr w:type="spellEnd"/>
      <w:r w:rsidRPr="0034075B">
        <w:t xml:space="preserve"> – log-likelihood at convergence, </w:t>
      </w:r>
      <w:proofErr w:type="spellStart"/>
      <w:r w:rsidRPr="0034075B">
        <w:t>logLratio</w:t>
      </w:r>
      <w:proofErr w:type="spellEnd"/>
      <w:r w:rsidRPr="0034075B">
        <w:t xml:space="preserve"> – twice the difference in </w:t>
      </w:r>
      <w:proofErr w:type="spellStart"/>
      <w:r w:rsidRPr="0034075B">
        <w:t>logL</w:t>
      </w:r>
      <w:proofErr w:type="spellEnd"/>
      <w:r w:rsidRPr="0034075B">
        <w:t xml:space="preserve"> between the models.</w:t>
      </w:r>
      <w:bookmarkEnd w:id="1"/>
    </w:p>
    <w:tbl>
      <w:tblPr>
        <w:tblW w:w="8390" w:type="dxa"/>
        <w:jc w:val="center"/>
        <w:tblInd w:w="93" w:type="dxa"/>
        <w:tblLook w:val="04A0" w:firstRow="1" w:lastRow="0" w:firstColumn="1" w:lastColumn="0" w:noHBand="0" w:noVBand="1"/>
      </w:tblPr>
      <w:tblGrid>
        <w:gridCol w:w="1004"/>
        <w:gridCol w:w="1978"/>
        <w:gridCol w:w="1066"/>
        <w:gridCol w:w="1335"/>
        <w:gridCol w:w="989"/>
        <w:gridCol w:w="990"/>
        <w:gridCol w:w="1028"/>
      </w:tblGrid>
      <w:tr w:rsidR="005E6D0E" w:rsidRPr="00EF466D" w14:paraId="7C80742E" w14:textId="77777777" w:rsidTr="00CD0823">
        <w:trPr>
          <w:trHeight w:val="300"/>
          <w:jc w:val="center"/>
        </w:trPr>
        <w:tc>
          <w:tcPr>
            <w:tcW w:w="1004" w:type="dxa"/>
            <w:tcBorders>
              <w:top w:val="double" w:sz="4" w:space="0" w:color="auto"/>
              <w:left w:val="nil"/>
              <w:bottom w:val="single" w:sz="4" w:space="0" w:color="auto"/>
              <w:right w:val="nil"/>
            </w:tcBorders>
            <w:shd w:val="clear" w:color="auto" w:fill="auto"/>
            <w:noWrap/>
            <w:hideMark/>
          </w:tcPr>
          <w:p w14:paraId="0A805AFA" w14:textId="77777777" w:rsidR="005E6D0E" w:rsidRPr="00EF466D" w:rsidRDefault="005E6D0E" w:rsidP="00CD082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w:t>
            </w:r>
            <w:r w:rsidRPr="00EF466D">
              <w:rPr>
                <w:rFonts w:eastAsia="Times New Roman" w:cs="Times New Roman"/>
                <w:color w:val="000000"/>
                <w:sz w:val="20"/>
                <w:szCs w:val="20"/>
                <w:lang w:eastAsia="en-GB"/>
              </w:rPr>
              <w:t>odel</w:t>
            </w:r>
          </w:p>
        </w:tc>
        <w:tc>
          <w:tcPr>
            <w:tcW w:w="1978" w:type="dxa"/>
            <w:tcBorders>
              <w:top w:val="double" w:sz="4" w:space="0" w:color="auto"/>
              <w:left w:val="nil"/>
              <w:bottom w:val="single" w:sz="4" w:space="0" w:color="auto"/>
              <w:right w:val="nil"/>
            </w:tcBorders>
            <w:shd w:val="clear" w:color="auto" w:fill="auto"/>
            <w:noWrap/>
            <w:hideMark/>
          </w:tcPr>
          <w:p w14:paraId="792EE49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random effect</w:t>
            </w:r>
          </w:p>
        </w:tc>
        <w:tc>
          <w:tcPr>
            <w:tcW w:w="1066" w:type="dxa"/>
            <w:tcBorders>
              <w:top w:val="double" w:sz="4" w:space="0" w:color="auto"/>
              <w:left w:val="nil"/>
              <w:bottom w:val="single" w:sz="4" w:space="0" w:color="auto"/>
              <w:right w:val="nil"/>
            </w:tcBorders>
            <w:shd w:val="clear" w:color="auto" w:fill="auto"/>
            <w:noWrap/>
            <w:hideMark/>
          </w:tcPr>
          <w:p w14:paraId="170532EE"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AIC</w:t>
            </w:r>
          </w:p>
        </w:tc>
        <w:tc>
          <w:tcPr>
            <w:tcW w:w="1335" w:type="dxa"/>
            <w:tcBorders>
              <w:top w:val="double" w:sz="4" w:space="0" w:color="auto"/>
              <w:left w:val="nil"/>
              <w:bottom w:val="single" w:sz="4" w:space="0" w:color="auto"/>
              <w:right w:val="nil"/>
            </w:tcBorders>
            <w:shd w:val="clear" w:color="auto" w:fill="auto"/>
            <w:noWrap/>
            <w:hideMark/>
          </w:tcPr>
          <w:p w14:paraId="3D7F8A7C" w14:textId="77777777" w:rsidR="005E6D0E" w:rsidRPr="00EF466D" w:rsidRDefault="005E6D0E" w:rsidP="00CD082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compared with</w:t>
            </w:r>
          </w:p>
        </w:tc>
        <w:tc>
          <w:tcPr>
            <w:tcW w:w="989" w:type="dxa"/>
            <w:tcBorders>
              <w:top w:val="double" w:sz="4" w:space="0" w:color="auto"/>
              <w:left w:val="nil"/>
              <w:bottom w:val="single" w:sz="4" w:space="0" w:color="auto"/>
              <w:right w:val="nil"/>
            </w:tcBorders>
            <w:shd w:val="clear" w:color="auto" w:fill="auto"/>
            <w:noWrap/>
            <w:hideMark/>
          </w:tcPr>
          <w:p w14:paraId="60F08F76"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delta AIC</w:t>
            </w:r>
          </w:p>
        </w:tc>
        <w:tc>
          <w:tcPr>
            <w:tcW w:w="990" w:type="dxa"/>
            <w:tcBorders>
              <w:top w:val="double" w:sz="4" w:space="0" w:color="auto"/>
              <w:left w:val="nil"/>
              <w:bottom w:val="single" w:sz="4" w:space="0" w:color="auto"/>
              <w:right w:val="nil"/>
            </w:tcBorders>
            <w:shd w:val="clear" w:color="auto" w:fill="auto"/>
            <w:noWrap/>
            <w:hideMark/>
          </w:tcPr>
          <w:p w14:paraId="07BC8899" w14:textId="77777777" w:rsidR="005E6D0E" w:rsidRPr="00EF466D" w:rsidRDefault="005E6D0E" w:rsidP="00CD0823">
            <w:pPr>
              <w:spacing w:after="0" w:line="240" w:lineRule="auto"/>
              <w:rPr>
                <w:rFonts w:eastAsia="Times New Roman" w:cs="Times New Roman"/>
                <w:color w:val="000000"/>
                <w:sz w:val="20"/>
                <w:szCs w:val="20"/>
                <w:lang w:eastAsia="en-GB"/>
              </w:rPr>
            </w:pPr>
            <w:proofErr w:type="spellStart"/>
            <w:r w:rsidRPr="00EF466D">
              <w:rPr>
                <w:rFonts w:eastAsia="Times New Roman" w:cs="Times New Roman"/>
                <w:color w:val="000000"/>
                <w:sz w:val="20"/>
                <w:szCs w:val="20"/>
                <w:lang w:eastAsia="en-GB"/>
              </w:rPr>
              <w:t>LogL</w:t>
            </w:r>
            <w:proofErr w:type="spellEnd"/>
          </w:p>
        </w:tc>
        <w:tc>
          <w:tcPr>
            <w:tcW w:w="1028" w:type="dxa"/>
            <w:tcBorders>
              <w:top w:val="double" w:sz="4" w:space="0" w:color="auto"/>
              <w:left w:val="nil"/>
              <w:bottom w:val="single" w:sz="4" w:space="0" w:color="auto"/>
              <w:right w:val="nil"/>
            </w:tcBorders>
            <w:shd w:val="clear" w:color="auto" w:fill="auto"/>
            <w:noWrap/>
            <w:hideMark/>
          </w:tcPr>
          <w:p w14:paraId="66D10A2E" w14:textId="77777777" w:rsidR="005E6D0E" w:rsidRPr="00EF466D" w:rsidRDefault="005E6D0E" w:rsidP="00CD0823">
            <w:pPr>
              <w:spacing w:after="0" w:line="240" w:lineRule="auto"/>
              <w:rPr>
                <w:rFonts w:eastAsia="Times New Roman" w:cs="Times New Roman"/>
                <w:color w:val="000000"/>
                <w:sz w:val="20"/>
                <w:szCs w:val="20"/>
                <w:lang w:eastAsia="en-GB"/>
              </w:rPr>
            </w:pPr>
            <w:proofErr w:type="spellStart"/>
            <w:r w:rsidRPr="00EF466D">
              <w:rPr>
                <w:rFonts w:eastAsia="Times New Roman" w:cs="Times New Roman"/>
                <w:color w:val="000000"/>
                <w:sz w:val="20"/>
                <w:szCs w:val="20"/>
                <w:lang w:eastAsia="en-GB"/>
              </w:rPr>
              <w:t>logLratio</w:t>
            </w:r>
            <w:proofErr w:type="spellEnd"/>
          </w:p>
        </w:tc>
      </w:tr>
      <w:tr w:rsidR="005E6D0E" w:rsidRPr="00EF466D" w14:paraId="1F598401" w14:textId="77777777" w:rsidTr="00CD0823">
        <w:trPr>
          <w:trHeight w:val="300"/>
          <w:jc w:val="center"/>
        </w:trPr>
        <w:tc>
          <w:tcPr>
            <w:tcW w:w="1004" w:type="dxa"/>
            <w:tcBorders>
              <w:top w:val="single" w:sz="4" w:space="0" w:color="auto"/>
              <w:left w:val="nil"/>
              <w:right w:val="nil"/>
            </w:tcBorders>
            <w:shd w:val="clear" w:color="auto" w:fill="auto"/>
            <w:noWrap/>
          </w:tcPr>
          <w:p w14:paraId="66F5F102" w14:textId="77777777" w:rsidR="005E6D0E" w:rsidRPr="00EF466D" w:rsidRDefault="005E6D0E" w:rsidP="00CD082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Model 0</w:t>
            </w:r>
          </w:p>
        </w:tc>
        <w:tc>
          <w:tcPr>
            <w:tcW w:w="1978" w:type="dxa"/>
            <w:tcBorders>
              <w:top w:val="single" w:sz="4" w:space="0" w:color="auto"/>
              <w:left w:val="nil"/>
              <w:right w:val="nil"/>
            </w:tcBorders>
            <w:shd w:val="clear" w:color="auto" w:fill="auto"/>
            <w:noWrap/>
          </w:tcPr>
          <w:p w14:paraId="042BD3F0" w14:textId="77777777" w:rsidR="005E6D0E" w:rsidRPr="00EF466D" w:rsidRDefault="005E6D0E" w:rsidP="00CD082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p>
        </w:tc>
        <w:tc>
          <w:tcPr>
            <w:tcW w:w="1066" w:type="dxa"/>
            <w:tcBorders>
              <w:top w:val="single" w:sz="4" w:space="0" w:color="auto"/>
              <w:left w:val="nil"/>
              <w:right w:val="nil"/>
            </w:tcBorders>
            <w:shd w:val="clear" w:color="auto" w:fill="auto"/>
            <w:noWrap/>
          </w:tcPr>
          <w:p w14:paraId="206E5B7B" w14:textId="77777777" w:rsidR="005E6D0E" w:rsidRPr="00EF466D" w:rsidRDefault="005E6D0E" w:rsidP="00CD0823">
            <w:pPr>
              <w:spacing w:after="0" w:line="240" w:lineRule="auto"/>
              <w:rPr>
                <w:rFonts w:eastAsia="Times New Roman" w:cs="Times New Roman"/>
                <w:color w:val="000000"/>
                <w:sz w:val="20"/>
                <w:szCs w:val="20"/>
                <w:lang w:eastAsia="en-GB"/>
              </w:rPr>
            </w:pPr>
            <w:r w:rsidRPr="00D339ED">
              <w:rPr>
                <w:rFonts w:eastAsia="Times New Roman" w:cs="Times New Roman"/>
                <w:color w:val="000000"/>
                <w:sz w:val="20"/>
                <w:szCs w:val="20"/>
                <w:lang w:eastAsia="en-GB"/>
              </w:rPr>
              <w:t>-5639.91</w:t>
            </w:r>
          </w:p>
        </w:tc>
        <w:tc>
          <w:tcPr>
            <w:tcW w:w="1335" w:type="dxa"/>
            <w:tcBorders>
              <w:top w:val="single" w:sz="4" w:space="0" w:color="auto"/>
              <w:left w:val="nil"/>
              <w:right w:val="nil"/>
            </w:tcBorders>
            <w:shd w:val="clear" w:color="auto" w:fill="auto"/>
            <w:noWrap/>
          </w:tcPr>
          <w:p w14:paraId="44B8477D" w14:textId="77777777" w:rsidR="005E6D0E" w:rsidRPr="00EF466D" w:rsidRDefault="005E6D0E" w:rsidP="00CD082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model 1</w:t>
            </w:r>
          </w:p>
        </w:tc>
        <w:tc>
          <w:tcPr>
            <w:tcW w:w="989" w:type="dxa"/>
            <w:tcBorders>
              <w:top w:val="single" w:sz="4" w:space="0" w:color="auto"/>
              <w:left w:val="nil"/>
              <w:right w:val="nil"/>
            </w:tcBorders>
            <w:shd w:val="clear" w:color="auto" w:fill="auto"/>
            <w:noWrap/>
          </w:tcPr>
          <w:p w14:paraId="6C9B5D06" w14:textId="77777777" w:rsidR="005E6D0E" w:rsidRPr="00EF466D" w:rsidRDefault="005E6D0E" w:rsidP="00CD0823">
            <w:pPr>
              <w:spacing w:after="0" w:line="240" w:lineRule="auto"/>
              <w:rPr>
                <w:rFonts w:eastAsia="Times New Roman" w:cs="Times New Roman"/>
                <w:color w:val="000000"/>
                <w:sz w:val="20"/>
                <w:szCs w:val="20"/>
                <w:lang w:eastAsia="en-GB"/>
              </w:rPr>
            </w:pPr>
            <w:r w:rsidRPr="00D339ED">
              <w:rPr>
                <w:rFonts w:eastAsia="Times New Roman" w:cs="Times New Roman"/>
                <w:color w:val="000000"/>
                <w:sz w:val="20"/>
                <w:szCs w:val="20"/>
                <w:lang w:eastAsia="en-GB"/>
              </w:rPr>
              <w:t>204.97</w:t>
            </w:r>
          </w:p>
        </w:tc>
        <w:tc>
          <w:tcPr>
            <w:tcW w:w="990" w:type="dxa"/>
            <w:tcBorders>
              <w:top w:val="single" w:sz="4" w:space="0" w:color="auto"/>
              <w:left w:val="nil"/>
              <w:right w:val="nil"/>
            </w:tcBorders>
            <w:shd w:val="clear" w:color="auto" w:fill="auto"/>
            <w:noWrap/>
          </w:tcPr>
          <w:p w14:paraId="1F4CAE7C" w14:textId="77777777" w:rsidR="005E6D0E" w:rsidRPr="00EF466D" w:rsidRDefault="005E6D0E" w:rsidP="00CD0823">
            <w:pPr>
              <w:spacing w:after="0" w:line="240" w:lineRule="auto"/>
              <w:rPr>
                <w:rFonts w:eastAsia="Times New Roman" w:cs="Times New Roman"/>
                <w:color w:val="000000"/>
                <w:sz w:val="20"/>
                <w:szCs w:val="20"/>
                <w:lang w:eastAsia="en-GB"/>
              </w:rPr>
            </w:pPr>
            <w:r w:rsidRPr="00D339ED">
              <w:rPr>
                <w:rFonts w:eastAsia="Times New Roman" w:cs="Times New Roman"/>
                <w:color w:val="000000"/>
                <w:sz w:val="20"/>
                <w:szCs w:val="20"/>
                <w:lang w:eastAsia="en-GB"/>
              </w:rPr>
              <w:t>2820.96</w:t>
            </w:r>
          </w:p>
        </w:tc>
        <w:tc>
          <w:tcPr>
            <w:tcW w:w="1028" w:type="dxa"/>
            <w:tcBorders>
              <w:top w:val="single" w:sz="4" w:space="0" w:color="auto"/>
              <w:left w:val="nil"/>
              <w:right w:val="nil"/>
            </w:tcBorders>
            <w:shd w:val="clear" w:color="auto" w:fill="auto"/>
            <w:noWrap/>
          </w:tcPr>
          <w:p w14:paraId="5BCE95E6" w14:textId="77777777" w:rsidR="005E6D0E" w:rsidRPr="00EF466D" w:rsidRDefault="005E6D0E" w:rsidP="00CD0823">
            <w:pPr>
              <w:spacing w:after="0" w:line="240" w:lineRule="auto"/>
              <w:rPr>
                <w:rFonts w:eastAsia="Times New Roman" w:cs="Times New Roman"/>
                <w:color w:val="000000"/>
                <w:sz w:val="20"/>
                <w:szCs w:val="20"/>
                <w:lang w:eastAsia="en-GB"/>
              </w:rPr>
            </w:pPr>
            <w:r w:rsidRPr="00D339ED">
              <w:rPr>
                <w:rFonts w:eastAsia="Times New Roman" w:cs="Times New Roman"/>
                <w:color w:val="000000"/>
                <w:sz w:val="20"/>
                <w:szCs w:val="20"/>
                <w:lang w:eastAsia="en-GB"/>
              </w:rPr>
              <w:t>206.96</w:t>
            </w:r>
          </w:p>
        </w:tc>
      </w:tr>
      <w:tr w:rsidR="005E6D0E" w:rsidRPr="00EF466D" w14:paraId="7B34E06E" w14:textId="77777777" w:rsidTr="00CD0823">
        <w:trPr>
          <w:trHeight w:val="300"/>
          <w:jc w:val="center"/>
        </w:trPr>
        <w:tc>
          <w:tcPr>
            <w:tcW w:w="1004" w:type="dxa"/>
            <w:tcBorders>
              <w:left w:val="nil"/>
              <w:bottom w:val="nil"/>
              <w:right w:val="nil"/>
            </w:tcBorders>
            <w:shd w:val="clear" w:color="auto" w:fill="auto"/>
            <w:noWrap/>
            <w:hideMark/>
          </w:tcPr>
          <w:p w14:paraId="4829DFF9"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1</w:t>
            </w:r>
          </w:p>
        </w:tc>
        <w:tc>
          <w:tcPr>
            <w:tcW w:w="1978" w:type="dxa"/>
            <w:tcBorders>
              <w:left w:val="nil"/>
              <w:bottom w:val="nil"/>
              <w:right w:val="nil"/>
            </w:tcBorders>
            <w:shd w:val="clear" w:color="auto" w:fill="auto"/>
            <w:noWrap/>
            <w:hideMark/>
          </w:tcPr>
          <w:p w14:paraId="0982237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animal identity</w:t>
            </w:r>
          </w:p>
        </w:tc>
        <w:tc>
          <w:tcPr>
            <w:tcW w:w="1066" w:type="dxa"/>
            <w:tcBorders>
              <w:left w:val="nil"/>
              <w:bottom w:val="nil"/>
              <w:right w:val="nil"/>
            </w:tcBorders>
            <w:shd w:val="clear" w:color="auto" w:fill="auto"/>
            <w:noWrap/>
            <w:hideMark/>
          </w:tcPr>
          <w:p w14:paraId="6097FF39"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-5844.88</w:t>
            </w:r>
          </w:p>
        </w:tc>
        <w:tc>
          <w:tcPr>
            <w:tcW w:w="1335" w:type="dxa"/>
            <w:tcBorders>
              <w:left w:val="nil"/>
              <w:bottom w:val="nil"/>
              <w:right w:val="nil"/>
            </w:tcBorders>
            <w:shd w:val="clear" w:color="auto" w:fill="auto"/>
            <w:noWrap/>
            <w:hideMark/>
          </w:tcPr>
          <w:p w14:paraId="422709DE"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2</w:t>
            </w:r>
          </w:p>
        </w:tc>
        <w:tc>
          <w:tcPr>
            <w:tcW w:w="989" w:type="dxa"/>
            <w:tcBorders>
              <w:left w:val="nil"/>
              <w:bottom w:val="nil"/>
              <w:right w:val="nil"/>
            </w:tcBorders>
            <w:shd w:val="clear" w:color="auto" w:fill="auto"/>
            <w:noWrap/>
            <w:hideMark/>
          </w:tcPr>
          <w:p w14:paraId="6EB27385"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55.46</w:t>
            </w:r>
          </w:p>
        </w:tc>
        <w:tc>
          <w:tcPr>
            <w:tcW w:w="990" w:type="dxa"/>
            <w:tcBorders>
              <w:left w:val="nil"/>
              <w:bottom w:val="nil"/>
              <w:right w:val="nil"/>
            </w:tcBorders>
            <w:shd w:val="clear" w:color="auto" w:fill="auto"/>
            <w:noWrap/>
            <w:hideMark/>
          </w:tcPr>
          <w:p w14:paraId="4F06A868"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2924.44</w:t>
            </w:r>
          </w:p>
        </w:tc>
        <w:tc>
          <w:tcPr>
            <w:tcW w:w="1028" w:type="dxa"/>
            <w:tcBorders>
              <w:left w:val="nil"/>
              <w:bottom w:val="nil"/>
              <w:right w:val="nil"/>
            </w:tcBorders>
            <w:shd w:val="clear" w:color="auto" w:fill="auto"/>
            <w:noWrap/>
            <w:hideMark/>
          </w:tcPr>
          <w:p w14:paraId="4D77779F"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55.46</w:t>
            </w:r>
          </w:p>
        </w:tc>
      </w:tr>
      <w:tr w:rsidR="005E6D0E" w:rsidRPr="00EF466D" w14:paraId="2DA3E578" w14:textId="77777777" w:rsidTr="00CD0823">
        <w:trPr>
          <w:trHeight w:val="300"/>
          <w:jc w:val="center"/>
        </w:trPr>
        <w:tc>
          <w:tcPr>
            <w:tcW w:w="1004" w:type="dxa"/>
            <w:tcBorders>
              <w:top w:val="nil"/>
              <w:left w:val="nil"/>
              <w:right w:val="nil"/>
            </w:tcBorders>
            <w:shd w:val="clear" w:color="auto" w:fill="auto"/>
            <w:noWrap/>
            <w:hideMark/>
          </w:tcPr>
          <w:p w14:paraId="3692DBB7"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2</w:t>
            </w:r>
          </w:p>
        </w:tc>
        <w:tc>
          <w:tcPr>
            <w:tcW w:w="1978" w:type="dxa"/>
            <w:tcBorders>
              <w:top w:val="nil"/>
              <w:left w:val="nil"/>
              <w:right w:val="nil"/>
            </w:tcBorders>
            <w:shd w:val="clear" w:color="auto" w:fill="auto"/>
            <w:noWrap/>
            <w:hideMark/>
          </w:tcPr>
          <w:p w14:paraId="3B03C9C8"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additive genetic effect</w:t>
            </w:r>
          </w:p>
        </w:tc>
        <w:tc>
          <w:tcPr>
            <w:tcW w:w="1066" w:type="dxa"/>
            <w:tcBorders>
              <w:top w:val="nil"/>
              <w:left w:val="nil"/>
              <w:right w:val="nil"/>
            </w:tcBorders>
            <w:shd w:val="clear" w:color="auto" w:fill="auto"/>
            <w:noWrap/>
            <w:hideMark/>
          </w:tcPr>
          <w:p w14:paraId="1B60D06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-5900.34</w:t>
            </w:r>
          </w:p>
        </w:tc>
        <w:tc>
          <w:tcPr>
            <w:tcW w:w="1335" w:type="dxa"/>
            <w:tcBorders>
              <w:top w:val="nil"/>
              <w:left w:val="nil"/>
              <w:right w:val="nil"/>
            </w:tcBorders>
            <w:shd w:val="clear" w:color="auto" w:fill="auto"/>
            <w:noWrap/>
            <w:hideMark/>
          </w:tcPr>
          <w:p w14:paraId="6C26E118"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2</w:t>
            </w:r>
          </w:p>
        </w:tc>
        <w:tc>
          <w:tcPr>
            <w:tcW w:w="989" w:type="dxa"/>
            <w:tcBorders>
              <w:top w:val="nil"/>
              <w:left w:val="nil"/>
              <w:right w:val="nil"/>
            </w:tcBorders>
            <w:shd w:val="clear" w:color="auto" w:fill="auto"/>
            <w:noWrap/>
            <w:hideMark/>
          </w:tcPr>
          <w:p w14:paraId="2A9636FA"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0</w:t>
            </w:r>
          </w:p>
        </w:tc>
        <w:tc>
          <w:tcPr>
            <w:tcW w:w="990" w:type="dxa"/>
            <w:tcBorders>
              <w:top w:val="nil"/>
              <w:left w:val="nil"/>
              <w:right w:val="nil"/>
            </w:tcBorders>
            <w:shd w:val="clear" w:color="auto" w:fill="auto"/>
            <w:noWrap/>
            <w:hideMark/>
          </w:tcPr>
          <w:p w14:paraId="5FC7E5D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2952.17</w:t>
            </w:r>
          </w:p>
        </w:tc>
        <w:tc>
          <w:tcPr>
            <w:tcW w:w="1028" w:type="dxa"/>
            <w:tcBorders>
              <w:top w:val="nil"/>
              <w:left w:val="nil"/>
              <w:right w:val="nil"/>
            </w:tcBorders>
            <w:shd w:val="clear" w:color="auto" w:fill="auto"/>
            <w:noWrap/>
            <w:hideMark/>
          </w:tcPr>
          <w:p w14:paraId="12C86A54"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0</w:t>
            </w:r>
          </w:p>
        </w:tc>
      </w:tr>
      <w:tr w:rsidR="005E6D0E" w:rsidRPr="00EF466D" w14:paraId="5EDB926D" w14:textId="77777777" w:rsidTr="00CD0823">
        <w:trPr>
          <w:trHeight w:val="300"/>
          <w:jc w:val="center"/>
        </w:trPr>
        <w:tc>
          <w:tcPr>
            <w:tcW w:w="1004" w:type="dxa"/>
            <w:tcBorders>
              <w:top w:val="nil"/>
              <w:left w:val="nil"/>
              <w:bottom w:val="single" w:sz="4" w:space="0" w:color="auto"/>
              <w:right w:val="nil"/>
            </w:tcBorders>
            <w:shd w:val="clear" w:color="auto" w:fill="auto"/>
            <w:noWrap/>
            <w:hideMark/>
          </w:tcPr>
          <w:p w14:paraId="03A6F4FA"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3</w:t>
            </w:r>
          </w:p>
        </w:tc>
        <w:tc>
          <w:tcPr>
            <w:tcW w:w="1978" w:type="dxa"/>
            <w:tcBorders>
              <w:top w:val="nil"/>
              <w:left w:val="nil"/>
              <w:bottom w:val="single" w:sz="4" w:space="0" w:color="auto"/>
              <w:right w:val="nil"/>
            </w:tcBorders>
            <w:shd w:val="clear" w:color="auto" w:fill="auto"/>
            <w:noWrap/>
            <w:hideMark/>
          </w:tcPr>
          <w:p w14:paraId="3710E02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additive genetic effect + permanent environment</w:t>
            </w:r>
          </w:p>
        </w:tc>
        <w:tc>
          <w:tcPr>
            <w:tcW w:w="1066" w:type="dxa"/>
            <w:tcBorders>
              <w:top w:val="nil"/>
              <w:left w:val="nil"/>
              <w:bottom w:val="single" w:sz="4" w:space="0" w:color="auto"/>
              <w:right w:val="nil"/>
            </w:tcBorders>
            <w:shd w:val="clear" w:color="auto" w:fill="auto"/>
            <w:noWrap/>
            <w:hideMark/>
          </w:tcPr>
          <w:p w14:paraId="1D732C8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-5898.34</w:t>
            </w:r>
          </w:p>
        </w:tc>
        <w:tc>
          <w:tcPr>
            <w:tcW w:w="1335" w:type="dxa"/>
            <w:tcBorders>
              <w:top w:val="nil"/>
              <w:left w:val="nil"/>
              <w:bottom w:val="single" w:sz="4" w:space="0" w:color="auto"/>
              <w:right w:val="nil"/>
            </w:tcBorders>
            <w:shd w:val="clear" w:color="auto" w:fill="auto"/>
            <w:noWrap/>
            <w:hideMark/>
          </w:tcPr>
          <w:p w14:paraId="667F1486"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2</w:t>
            </w:r>
          </w:p>
        </w:tc>
        <w:tc>
          <w:tcPr>
            <w:tcW w:w="989" w:type="dxa"/>
            <w:tcBorders>
              <w:top w:val="nil"/>
              <w:left w:val="nil"/>
              <w:bottom w:val="single" w:sz="4" w:space="0" w:color="auto"/>
              <w:right w:val="nil"/>
            </w:tcBorders>
            <w:shd w:val="clear" w:color="auto" w:fill="auto"/>
            <w:noWrap/>
            <w:hideMark/>
          </w:tcPr>
          <w:p w14:paraId="34433358"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w:t>
            </w:r>
          </w:p>
        </w:tc>
        <w:tc>
          <w:tcPr>
            <w:tcW w:w="990" w:type="dxa"/>
            <w:tcBorders>
              <w:top w:val="nil"/>
              <w:left w:val="nil"/>
              <w:bottom w:val="single" w:sz="4" w:space="0" w:color="auto"/>
              <w:right w:val="nil"/>
            </w:tcBorders>
            <w:shd w:val="clear" w:color="auto" w:fill="auto"/>
            <w:noWrap/>
            <w:hideMark/>
          </w:tcPr>
          <w:p w14:paraId="11158892"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2952.17</w:t>
            </w:r>
          </w:p>
        </w:tc>
        <w:tc>
          <w:tcPr>
            <w:tcW w:w="1028" w:type="dxa"/>
            <w:tcBorders>
              <w:top w:val="nil"/>
              <w:left w:val="nil"/>
              <w:bottom w:val="single" w:sz="4" w:space="0" w:color="auto"/>
              <w:right w:val="nil"/>
            </w:tcBorders>
            <w:shd w:val="clear" w:color="auto" w:fill="auto"/>
            <w:noWrap/>
            <w:hideMark/>
          </w:tcPr>
          <w:p w14:paraId="0224F51A" w14:textId="77777777" w:rsidR="005E6D0E" w:rsidRPr="00EF466D" w:rsidRDefault="005E6D0E" w:rsidP="00CD0823">
            <w:pPr>
              <w:keepNext/>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w:t>
            </w:r>
          </w:p>
        </w:tc>
      </w:tr>
    </w:tbl>
    <w:p w14:paraId="288D5158" w14:textId="77777777" w:rsidR="005E6D0E" w:rsidRDefault="005E6D0E" w:rsidP="005E6D0E">
      <w:pPr>
        <w:pStyle w:val="Caption"/>
        <w:rPr>
          <w:b w:val="0"/>
        </w:rPr>
      </w:pPr>
    </w:p>
    <w:p w14:paraId="67DEC13A" w14:textId="77777777" w:rsidR="005E6D0E" w:rsidRDefault="005E6D0E" w:rsidP="005E6D0E">
      <w:r>
        <w:t>Next</w:t>
      </w:r>
      <w:r w:rsidRPr="007A7E50">
        <w:t xml:space="preserve">, we added </w:t>
      </w:r>
      <w:r>
        <w:t xml:space="preserve">orthogonal </w:t>
      </w:r>
      <w:r w:rsidRPr="007A7E50">
        <w:t xml:space="preserve">Legendre polynomials of increasing order to </w:t>
      </w:r>
      <w:r>
        <w:t xml:space="preserve">the fixed effect of </w:t>
      </w:r>
      <w:r w:rsidRPr="007A7E50">
        <w:t>age</w:t>
      </w:r>
      <w:r>
        <w:t xml:space="preserve"> in months</w:t>
      </w:r>
      <w:r w:rsidRPr="007A7E50">
        <w:t xml:space="preserve"> and determined the best fitting order</w:t>
      </w:r>
      <w:r>
        <w:t xml:space="preserve"> by comparing AIC values. </w:t>
      </w:r>
      <w:r w:rsidRPr="007A7E50">
        <w:t xml:space="preserve">A </w:t>
      </w:r>
      <w:r>
        <w:t xml:space="preserve">cubic </w:t>
      </w:r>
      <w:r w:rsidRPr="007A7E50">
        <w:t>function of age fitted the data best</w:t>
      </w:r>
      <w:r>
        <w:t xml:space="preserve"> (Table S2). However, when the same order of Legendre polynomial was fitted to the random effect of the animal identity, the model failed to converge. Therefore, the model was simplified by using a quadratic polynomial for both the fixed and the random effect which allowed convergence. </w:t>
      </w:r>
    </w:p>
    <w:p w14:paraId="67A7C7E7" w14:textId="77777777" w:rsidR="005E6D0E" w:rsidRDefault="005E6D0E" w:rsidP="005E6D0E"/>
    <w:p w14:paraId="30563E49" w14:textId="77777777" w:rsidR="005E6D0E" w:rsidRDefault="005E6D0E" w:rsidP="005E6D0E"/>
    <w:p w14:paraId="40B955C2" w14:textId="77777777" w:rsidR="0087391F" w:rsidRPr="0034075B" w:rsidRDefault="0087391F" w:rsidP="0087391F">
      <w:pPr>
        <w:pStyle w:val="Caption"/>
        <w:rPr>
          <w:b w:val="0"/>
        </w:rPr>
      </w:pPr>
      <w:bookmarkStart w:id="2" w:name="_Toc494238477"/>
      <w:r>
        <w:lastRenderedPageBreak/>
        <w:t>Table S2: C</w:t>
      </w:r>
      <w:r w:rsidRPr="0034075B">
        <w:t>omparison of models including different orders of Legendre polynomials fitted to the fixed effect of age in months. Other fixed effects in the model were: genetic group, birth year, qPCR plate and qPCR row while animal identity with associated pedigree information (additive genetic effect) was fitted as a random effect</w:t>
      </w:r>
      <w:bookmarkEnd w:id="2"/>
    </w:p>
    <w:tbl>
      <w:tblPr>
        <w:tblW w:w="6678" w:type="dxa"/>
        <w:jc w:val="center"/>
        <w:tblInd w:w="93" w:type="dxa"/>
        <w:tblLook w:val="04A0" w:firstRow="1" w:lastRow="0" w:firstColumn="1" w:lastColumn="0" w:noHBand="0" w:noVBand="1"/>
      </w:tblPr>
      <w:tblGrid>
        <w:gridCol w:w="960"/>
        <w:gridCol w:w="3024"/>
        <w:gridCol w:w="1276"/>
        <w:gridCol w:w="1418"/>
      </w:tblGrid>
      <w:tr w:rsidR="005E6D0E" w:rsidRPr="0026032C" w14:paraId="7ED11CC2" w14:textId="77777777" w:rsidTr="00CD0823">
        <w:trPr>
          <w:trHeight w:val="300"/>
          <w:jc w:val="center"/>
        </w:trPr>
        <w:tc>
          <w:tcPr>
            <w:tcW w:w="960" w:type="dxa"/>
            <w:tcBorders>
              <w:top w:val="double" w:sz="4" w:space="0" w:color="auto"/>
              <w:left w:val="nil"/>
              <w:bottom w:val="single" w:sz="4" w:space="0" w:color="auto"/>
              <w:right w:val="nil"/>
            </w:tcBorders>
            <w:shd w:val="clear" w:color="auto" w:fill="auto"/>
            <w:noWrap/>
            <w:vAlign w:val="center"/>
            <w:hideMark/>
          </w:tcPr>
          <w:p w14:paraId="2AACD019"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w:t>
            </w:r>
          </w:p>
        </w:tc>
        <w:tc>
          <w:tcPr>
            <w:tcW w:w="3024" w:type="dxa"/>
            <w:tcBorders>
              <w:top w:val="double" w:sz="4" w:space="0" w:color="auto"/>
              <w:left w:val="nil"/>
              <w:bottom w:val="single" w:sz="4" w:space="0" w:color="auto"/>
              <w:right w:val="nil"/>
            </w:tcBorders>
            <w:shd w:val="clear" w:color="auto" w:fill="auto"/>
            <w:noWrap/>
            <w:vAlign w:val="center"/>
            <w:hideMark/>
          </w:tcPr>
          <w:p w14:paraId="42B80721" w14:textId="77777777" w:rsidR="005E6D0E" w:rsidRPr="0026032C" w:rsidRDefault="005E6D0E" w:rsidP="00CD08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Pr="0026032C">
              <w:rPr>
                <w:rFonts w:ascii="Calibri" w:eastAsia="Times New Roman" w:hAnsi="Calibri" w:cs="Times New Roman"/>
                <w:color w:val="000000"/>
                <w:lang w:eastAsia="en-GB"/>
              </w:rPr>
              <w:t>rder of Legendre Polynomial</w:t>
            </w:r>
          </w:p>
        </w:tc>
        <w:tc>
          <w:tcPr>
            <w:tcW w:w="1276" w:type="dxa"/>
            <w:tcBorders>
              <w:top w:val="double" w:sz="4" w:space="0" w:color="auto"/>
              <w:left w:val="nil"/>
              <w:bottom w:val="single" w:sz="4" w:space="0" w:color="auto"/>
              <w:right w:val="nil"/>
            </w:tcBorders>
            <w:shd w:val="clear" w:color="auto" w:fill="auto"/>
            <w:noWrap/>
            <w:vAlign w:val="center"/>
            <w:hideMark/>
          </w:tcPr>
          <w:p w14:paraId="28F651BC"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AIC</w:t>
            </w:r>
          </w:p>
        </w:tc>
        <w:tc>
          <w:tcPr>
            <w:tcW w:w="1418" w:type="dxa"/>
            <w:tcBorders>
              <w:top w:val="double" w:sz="4" w:space="0" w:color="auto"/>
              <w:left w:val="nil"/>
              <w:bottom w:val="single" w:sz="4" w:space="0" w:color="auto"/>
              <w:right w:val="nil"/>
            </w:tcBorders>
            <w:shd w:val="clear" w:color="auto" w:fill="auto"/>
            <w:noWrap/>
            <w:vAlign w:val="center"/>
            <w:hideMark/>
          </w:tcPr>
          <w:p w14:paraId="0CAA5D7C"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delta AIC</w:t>
            </w:r>
          </w:p>
        </w:tc>
      </w:tr>
      <w:tr w:rsidR="005E6D0E" w:rsidRPr="0026032C" w14:paraId="28C6CA07" w14:textId="77777777" w:rsidTr="00CD0823">
        <w:trPr>
          <w:trHeight w:val="300"/>
          <w:jc w:val="center"/>
        </w:trPr>
        <w:tc>
          <w:tcPr>
            <w:tcW w:w="960" w:type="dxa"/>
            <w:tcBorders>
              <w:top w:val="single" w:sz="4" w:space="0" w:color="auto"/>
              <w:left w:val="nil"/>
              <w:bottom w:val="nil"/>
              <w:right w:val="nil"/>
            </w:tcBorders>
            <w:shd w:val="clear" w:color="auto" w:fill="auto"/>
            <w:noWrap/>
            <w:vAlign w:val="center"/>
            <w:hideMark/>
          </w:tcPr>
          <w:p w14:paraId="37493FF4"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 1</w:t>
            </w:r>
          </w:p>
        </w:tc>
        <w:tc>
          <w:tcPr>
            <w:tcW w:w="3024" w:type="dxa"/>
            <w:tcBorders>
              <w:top w:val="single" w:sz="4" w:space="0" w:color="auto"/>
              <w:left w:val="nil"/>
              <w:bottom w:val="nil"/>
              <w:right w:val="nil"/>
            </w:tcBorders>
            <w:shd w:val="clear" w:color="auto" w:fill="auto"/>
            <w:noWrap/>
            <w:vAlign w:val="center"/>
            <w:hideMark/>
          </w:tcPr>
          <w:p w14:paraId="102748B0"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NULL</w:t>
            </w:r>
          </w:p>
        </w:tc>
        <w:tc>
          <w:tcPr>
            <w:tcW w:w="1276" w:type="dxa"/>
            <w:tcBorders>
              <w:top w:val="single" w:sz="4" w:space="0" w:color="auto"/>
              <w:left w:val="nil"/>
              <w:bottom w:val="nil"/>
              <w:right w:val="nil"/>
            </w:tcBorders>
            <w:shd w:val="clear" w:color="auto" w:fill="auto"/>
            <w:noWrap/>
            <w:vAlign w:val="center"/>
            <w:hideMark/>
          </w:tcPr>
          <w:p w14:paraId="4E1C41A2"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-5900.34</w:t>
            </w:r>
          </w:p>
        </w:tc>
        <w:tc>
          <w:tcPr>
            <w:tcW w:w="1418" w:type="dxa"/>
            <w:tcBorders>
              <w:top w:val="single" w:sz="4" w:space="0" w:color="auto"/>
              <w:left w:val="nil"/>
              <w:bottom w:val="nil"/>
              <w:right w:val="nil"/>
            </w:tcBorders>
            <w:shd w:val="clear" w:color="auto" w:fill="auto"/>
            <w:noWrap/>
            <w:vAlign w:val="center"/>
            <w:hideMark/>
          </w:tcPr>
          <w:p w14:paraId="2D0EB872"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74.66</w:t>
            </w:r>
          </w:p>
        </w:tc>
      </w:tr>
      <w:tr w:rsidR="005E6D0E" w:rsidRPr="0026032C" w14:paraId="7DAEB396" w14:textId="77777777" w:rsidTr="00CD0823">
        <w:trPr>
          <w:trHeight w:val="300"/>
          <w:jc w:val="center"/>
        </w:trPr>
        <w:tc>
          <w:tcPr>
            <w:tcW w:w="960" w:type="dxa"/>
            <w:tcBorders>
              <w:top w:val="nil"/>
              <w:left w:val="nil"/>
              <w:bottom w:val="nil"/>
              <w:right w:val="nil"/>
            </w:tcBorders>
            <w:shd w:val="clear" w:color="auto" w:fill="auto"/>
            <w:noWrap/>
            <w:vAlign w:val="center"/>
            <w:hideMark/>
          </w:tcPr>
          <w:p w14:paraId="6D41357F"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 2</w:t>
            </w:r>
          </w:p>
        </w:tc>
        <w:tc>
          <w:tcPr>
            <w:tcW w:w="3024" w:type="dxa"/>
            <w:tcBorders>
              <w:top w:val="nil"/>
              <w:left w:val="nil"/>
              <w:bottom w:val="nil"/>
              <w:right w:val="nil"/>
            </w:tcBorders>
            <w:shd w:val="clear" w:color="auto" w:fill="auto"/>
            <w:noWrap/>
            <w:vAlign w:val="center"/>
            <w:hideMark/>
          </w:tcPr>
          <w:p w14:paraId="79AE49DC" w14:textId="77777777" w:rsidR="005E6D0E" w:rsidRPr="0026032C" w:rsidRDefault="005E6D0E" w:rsidP="00CD08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linear</w:t>
            </w:r>
          </w:p>
        </w:tc>
        <w:tc>
          <w:tcPr>
            <w:tcW w:w="1276" w:type="dxa"/>
            <w:tcBorders>
              <w:top w:val="nil"/>
              <w:left w:val="nil"/>
              <w:bottom w:val="nil"/>
              <w:right w:val="nil"/>
            </w:tcBorders>
            <w:shd w:val="clear" w:color="auto" w:fill="auto"/>
            <w:noWrap/>
            <w:vAlign w:val="center"/>
            <w:hideMark/>
          </w:tcPr>
          <w:p w14:paraId="2E547F60"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-5907.18</w:t>
            </w:r>
          </w:p>
        </w:tc>
        <w:tc>
          <w:tcPr>
            <w:tcW w:w="1418" w:type="dxa"/>
            <w:tcBorders>
              <w:top w:val="nil"/>
              <w:left w:val="nil"/>
              <w:bottom w:val="nil"/>
              <w:right w:val="nil"/>
            </w:tcBorders>
            <w:shd w:val="clear" w:color="auto" w:fill="auto"/>
            <w:noWrap/>
            <w:vAlign w:val="center"/>
            <w:hideMark/>
          </w:tcPr>
          <w:p w14:paraId="7AA7427D"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67.82</w:t>
            </w:r>
          </w:p>
        </w:tc>
      </w:tr>
      <w:tr w:rsidR="005E6D0E" w:rsidRPr="0026032C" w14:paraId="33B2A528" w14:textId="77777777" w:rsidTr="00CD0823">
        <w:trPr>
          <w:trHeight w:val="300"/>
          <w:jc w:val="center"/>
        </w:trPr>
        <w:tc>
          <w:tcPr>
            <w:tcW w:w="960" w:type="dxa"/>
            <w:tcBorders>
              <w:top w:val="nil"/>
              <w:left w:val="nil"/>
              <w:bottom w:val="nil"/>
              <w:right w:val="nil"/>
            </w:tcBorders>
            <w:shd w:val="clear" w:color="auto" w:fill="auto"/>
            <w:noWrap/>
            <w:vAlign w:val="center"/>
            <w:hideMark/>
          </w:tcPr>
          <w:p w14:paraId="322C7D33"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 3</w:t>
            </w:r>
          </w:p>
        </w:tc>
        <w:tc>
          <w:tcPr>
            <w:tcW w:w="3024" w:type="dxa"/>
            <w:tcBorders>
              <w:top w:val="nil"/>
              <w:left w:val="nil"/>
              <w:bottom w:val="nil"/>
              <w:right w:val="nil"/>
            </w:tcBorders>
            <w:shd w:val="clear" w:color="auto" w:fill="auto"/>
            <w:noWrap/>
            <w:vAlign w:val="center"/>
            <w:hideMark/>
          </w:tcPr>
          <w:p w14:paraId="6FCBE32B" w14:textId="77777777" w:rsidR="005E6D0E" w:rsidRPr="0026032C" w:rsidRDefault="005E6D0E" w:rsidP="00CD08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quadratic</w:t>
            </w:r>
          </w:p>
        </w:tc>
        <w:tc>
          <w:tcPr>
            <w:tcW w:w="1276" w:type="dxa"/>
            <w:tcBorders>
              <w:top w:val="nil"/>
              <w:left w:val="nil"/>
              <w:bottom w:val="nil"/>
              <w:right w:val="nil"/>
            </w:tcBorders>
            <w:shd w:val="clear" w:color="auto" w:fill="auto"/>
            <w:noWrap/>
            <w:vAlign w:val="center"/>
            <w:hideMark/>
          </w:tcPr>
          <w:p w14:paraId="7BD6DA0F"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-5963.41</w:t>
            </w:r>
          </w:p>
        </w:tc>
        <w:tc>
          <w:tcPr>
            <w:tcW w:w="1418" w:type="dxa"/>
            <w:tcBorders>
              <w:top w:val="nil"/>
              <w:left w:val="nil"/>
              <w:bottom w:val="nil"/>
              <w:right w:val="nil"/>
            </w:tcBorders>
            <w:shd w:val="clear" w:color="auto" w:fill="auto"/>
            <w:noWrap/>
            <w:vAlign w:val="center"/>
            <w:hideMark/>
          </w:tcPr>
          <w:p w14:paraId="7C7871CC"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11.59</w:t>
            </w:r>
          </w:p>
        </w:tc>
      </w:tr>
      <w:tr w:rsidR="005E6D0E" w:rsidRPr="0026032C" w14:paraId="14E16C24" w14:textId="77777777" w:rsidTr="00CD0823">
        <w:trPr>
          <w:trHeight w:val="300"/>
          <w:jc w:val="center"/>
        </w:trPr>
        <w:tc>
          <w:tcPr>
            <w:tcW w:w="960" w:type="dxa"/>
            <w:tcBorders>
              <w:top w:val="nil"/>
              <w:left w:val="nil"/>
              <w:right w:val="nil"/>
            </w:tcBorders>
            <w:shd w:val="clear" w:color="auto" w:fill="auto"/>
            <w:noWrap/>
            <w:vAlign w:val="center"/>
            <w:hideMark/>
          </w:tcPr>
          <w:p w14:paraId="6776C7B8"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 4</w:t>
            </w:r>
          </w:p>
        </w:tc>
        <w:tc>
          <w:tcPr>
            <w:tcW w:w="3024" w:type="dxa"/>
            <w:tcBorders>
              <w:top w:val="nil"/>
              <w:left w:val="nil"/>
              <w:right w:val="nil"/>
            </w:tcBorders>
            <w:shd w:val="clear" w:color="auto" w:fill="auto"/>
            <w:noWrap/>
            <w:vAlign w:val="center"/>
            <w:hideMark/>
          </w:tcPr>
          <w:p w14:paraId="52D8D607" w14:textId="77777777" w:rsidR="005E6D0E" w:rsidRPr="0026032C" w:rsidRDefault="005E6D0E" w:rsidP="00CD08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cubic</w:t>
            </w:r>
          </w:p>
        </w:tc>
        <w:tc>
          <w:tcPr>
            <w:tcW w:w="1276" w:type="dxa"/>
            <w:tcBorders>
              <w:top w:val="nil"/>
              <w:left w:val="nil"/>
              <w:right w:val="nil"/>
            </w:tcBorders>
            <w:shd w:val="clear" w:color="auto" w:fill="auto"/>
            <w:noWrap/>
            <w:vAlign w:val="center"/>
            <w:hideMark/>
          </w:tcPr>
          <w:p w14:paraId="6397B1DE"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-5975</w:t>
            </w:r>
          </w:p>
        </w:tc>
        <w:tc>
          <w:tcPr>
            <w:tcW w:w="1418" w:type="dxa"/>
            <w:tcBorders>
              <w:top w:val="nil"/>
              <w:left w:val="nil"/>
              <w:right w:val="nil"/>
            </w:tcBorders>
            <w:shd w:val="clear" w:color="auto" w:fill="auto"/>
            <w:noWrap/>
            <w:vAlign w:val="center"/>
            <w:hideMark/>
          </w:tcPr>
          <w:p w14:paraId="4D8F7DFF"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0</w:t>
            </w:r>
          </w:p>
        </w:tc>
      </w:tr>
      <w:tr w:rsidR="005E6D0E" w:rsidRPr="0026032C" w14:paraId="7B207DAD" w14:textId="77777777" w:rsidTr="00CD0823">
        <w:trPr>
          <w:trHeight w:val="300"/>
          <w:jc w:val="center"/>
        </w:trPr>
        <w:tc>
          <w:tcPr>
            <w:tcW w:w="960" w:type="dxa"/>
            <w:tcBorders>
              <w:top w:val="nil"/>
              <w:left w:val="nil"/>
              <w:bottom w:val="single" w:sz="4" w:space="0" w:color="auto"/>
              <w:right w:val="nil"/>
            </w:tcBorders>
            <w:shd w:val="clear" w:color="auto" w:fill="auto"/>
            <w:noWrap/>
            <w:vAlign w:val="center"/>
            <w:hideMark/>
          </w:tcPr>
          <w:p w14:paraId="26FE6604"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model 5</w:t>
            </w:r>
          </w:p>
        </w:tc>
        <w:tc>
          <w:tcPr>
            <w:tcW w:w="3024" w:type="dxa"/>
            <w:tcBorders>
              <w:top w:val="nil"/>
              <w:left w:val="nil"/>
              <w:bottom w:val="single" w:sz="4" w:space="0" w:color="auto"/>
              <w:right w:val="nil"/>
            </w:tcBorders>
            <w:shd w:val="clear" w:color="auto" w:fill="auto"/>
            <w:noWrap/>
            <w:vAlign w:val="center"/>
            <w:hideMark/>
          </w:tcPr>
          <w:p w14:paraId="089C5F21" w14:textId="77777777" w:rsidR="005E6D0E" w:rsidRPr="0026032C" w:rsidRDefault="005E6D0E" w:rsidP="00CD082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quartic</w:t>
            </w:r>
          </w:p>
        </w:tc>
        <w:tc>
          <w:tcPr>
            <w:tcW w:w="1276" w:type="dxa"/>
            <w:tcBorders>
              <w:top w:val="nil"/>
              <w:left w:val="nil"/>
              <w:bottom w:val="single" w:sz="4" w:space="0" w:color="auto"/>
              <w:right w:val="nil"/>
            </w:tcBorders>
            <w:shd w:val="clear" w:color="auto" w:fill="auto"/>
            <w:noWrap/>
            <w:vAlign w:val="center"/>
            <w:hideMark/>
          </w:tcPr>
          <w:p w14:paraId="71FA26E3" w14:textId="77777777" w:rsidR="005E6D0E" w:rsidRPr="0026032C" w:rsidRDefault="005E6D0E" w:rsidP="00CD0823">
            <w:pPr>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-5970.12</w:t>
            </w:r>
          </w:p>
        </w:tc>
        <w:tc>
          <w:tcPr>
            <w:tcW w:w="1418" w:type="dxa"/>
            <w:tcBorders>
              <w:top w:val="nil"/>
              <w:left w:val="nil"/>
              <w:bottom w:val="single" w:sz="4" w:space="0" w:color="auto"/>
              <w:right w:val="nil"/>
            </w:tcBorders>
            <w:shd w:val="clear" w:color="auto" w:fill="auto"/>
            <w:noWrap/>
            <w:vAlign w:val="center"/>
            <w:hideMark/>
          </w:tcPr>
          <w:p w14:paraId="24B2D19F" w14:textId="77777777" w:rsidR="005E6D0E" w:rsidRPr="0026032C" w:rsidRDefault="005E6D0E" w:rsidP="00CD0823">
            <w:pPr>
              <w:keepNext/>
              <w:spacing w:after="0" w:line="240" w:lineRule="auto"/>
              <w:rPr>
                <w:rFonts w:ascii="Calibri" w:eastAsia="Times New Roman" w:hAnsi="Calibri" w:cs="Times New Roman"/>
                <w:color w:val="000000"/>
                <w:lang w:eastAsia="en-GB"/>
              </w:rPr>
            </w:pPr>
            <w:r w:rsidRPr="0026032C">
              <w:rPr>
                <w:rFonts w:ascii="Calibri" w:eastAsia="Times New Roman" w:hAnsi="Calibri" w:cs="Times New Roman"/>
                <w:color w:val="000000"/>
                <w:lang w:eastAsia="en-GB"/>
              </w:rPr>
              <w:t>4.88</w:t>
            </w:r>
          </w:p>
        </w:tc>
      </w:tr>
    </w:tbl>
    <w:p w14:paraId="2882498A" w14:textId="77777777" w:rsidR="005E6D0E" w:rsidRDefault="005E6D0E" w:rsidP="005E6D0E">
      <w:pPr>
        <w:pStyle w:val="Caption"/>
        <w:rPr>
          <w:b w:val="0"/>
        </w:rPr>
      </w:pPr>
    </w:p>
    <w:p w14:paraId="6275A257" w14:textId="77777777" w:rsidR="005E6D0E" w:rsidRDefault="005E6D0E" w:rsidP="005E6D0E">
      <w:r w:rsidRPr="00EB7143">
        <w:t xml:space="preserve">The inclusion of the quadratic polynomial to the animal identity </w:t>
      </w:r>
      <w:r>
        <w:t xml:space="preserve">(random effect) </w:t>
      </w:r>
      <w:r w:rsidRPr="00EB7143">
        <w:t xml:space="preserve">was statistically significant (delta AIC = 3.24). This implies that animals differ in their telomere length profiles and thus in their direction and amount of </w:t>
      </w:r>
      <w:r>
        <w:t xml:space="preserve">RLTL </w:t>
      </w:r>
      <w:r w:rsidRPr="00EB7143">
        <w:t>change.</w:t>
      </w:r>
      <w:r>
        <w:t xml:space="preserve"> The quadratic polynomial also described individual deviations from the fixed curve better than a linear function (delta AIC = 2.04) (Table S3).</w:t>
      </w:r>
    </w:p>
    <w:p w14:paraId="3F6D32F5" w14:textId="0DED3C66" w:rsidR="0087391F" w:rsidRPr="0087391F" w:rsidRDefault="0087391F" w:rsidP="0087391F">
      <w:pPr>
        <w:pStyle w:val="Caption"/>
        <w:rPr>
          <w:b w:val="0"/>
        </w:rPr>
      </w:pPr>
      <w:bookmarkStart w:id="3" w:name="_Toc494238478"/>
      <w:r w:rsidRPr="0034075B">
        <w:t>Table</w:t>
      </w:r>
      <w:r>
        <w:t xml:space="preserve"> S3</w:t>
      </w:r>
      <w:r w:rsidRPr="0034075B">
        <w:t xml:space="preserve">: Comparison of different Legendre polynomials fitted to the additive genetic effect of the animal identity. Other fixed effects in the model were age in months (with fitted polynomial), genetic group, birth year, </w:t>
      </w:r>
      <w:proofErr w:type="gramStart"/>
      <w:r w:rsidRPr="0034075B">
        <w:t>qPCR</w:t>
      </w:r>
      <w:proofErr w:type="gramEnd"/>
      <w:r w:rsidRPr="0034075B">
        <w:t xml:space="preserve"> plate and qPCR row.</w:t>
      </w:r>
      <w:bookmarkEnd w:id="3"/>
    </w:p>
    <w:tbl>
      <w:tblPr>
        <w:tblpPr w:leftFromText="180" w:rightFromText="180" w:vertAnchor="text" w:horzAnchor="margin" w:tblpXSpec="center" w:tblpY="228"/>
        <w:tblW w:w="8786" w:type="dxa"/>
        <w:tblLook w:val="04A0" w:firstRow="1" w:lastRow="0" w:firstColumn="1" w:lastColumn="0" w:noHBand="0" w:noVBand="1"/>
      </w:tblPr>
      <w:tblGrid>
        <w:gridCol w:w="1101"/>
        <w:gridCol w:w="1121"/>
        <w:gridCol w:w="1276"/>
        <w:gridCol w:w="1150"/>
        <w:gridCol w:w="1118"/>
        <w:gridCol w:w="1134"/>
        <w:gridCol w:w="992"/>
        <w:gridCol w:w="984"/>
      </w:tblGrid>
      <w:tr w:rsidR="005E6D0E" w:rsidRPr="00EB7143" w14:paraId="4FD67E1E" w14:textId="77777777" w:rsidTr="00CD0823">
        <w:trPr>
          <w:trHeight w:val="283"/>
        </w:trPr>
        <w:tc>
          <w:tcPr>
            <w:tcW w:w="1101" w:type="dxa"/>
            <w:tcBorders>
              <w:top w:val="double" w:sz="4" w:space="0" w:color="auto"/>
              <w:left w:val="nil"/>
              <w:bottom w:val="single" w:sz="4" w:space="0" w:color="auto"/>
              <w:right w:val="nil"/>
            </w:tcBorders>
            <w:shd w:val="clear" w:color="auto" w:fill="auto"/>
            <w:noWrap/>
            <w:hideMark/>
          </w:tcPr>
          <w:p w14:paraId="55E1BFFE" w14:textId="77777777" w:rsidR="005E6D0E" w:rsidRPr="00EF466D"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M</w:t>
            </w:r>
            <w:r w:rsidRPr="00EF466D">
              <w:rPr>
                <w:rFonts w:eastAsia="Times New Roman" w:cs="Times New Roman"/>
                <w:color w:val="000000"/>
                <w:sz w:val="20"/>
                <w:szCs w:val="20"/>
                <w:lang w:eastAsia="en-GB"/>
              </w:rPr>
              <w:t>odel</w:t>
            </w:r>
          </w:p>
        </w:tc>
        <w:tc>
          <w:tcPr>
            <w:tcW w:w="1031" w:type="dxa"/>
            <w:tcBorders>
              <w:top w:val="double" w:sz="4" w:space="0" w:color="auto"/>
              <w:left w:val="nil"/>
              <w:bottom w:val="single" w:sz="4" w:space="0" w:color="auto"/>
              <w:right w:val="nil"/>
            </w:tcBorders>
            <w:shd w:val="clear" w:color="auto" w:fill="auto"/>
            <w:noWrap/>
            <w:hideMark/>
          </w:tcPr>
          <w:p w14:paraId="508F4BB0"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Legendre polynomial (fixed)</w:t>
            </w:r>
          </w:p>
        </w:tc>
        <w:tc>
          <w:tcPr>
            <w:tcW w:w="1276" w:type="dxa"/>
            <w:tcBorders>
              <w:top w:val="double" w:sz="4" w:space="0" w:color="auto"/>
              <w:left w:val="nil"/>
              <w:bottom w:val="single" w:sz="4" w:space="0" w:color="auto"/>
              <w:right w:val="nil"/>
            </w:tcBorders>
            <w:shd w:val="clear" w:color="auto" w:fill="auto"/>
            <w:noWrap/>
            <w:hideMark/>
          </w:tcPr>
          <w:p w14:paraId="245785AB"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Legendre polynomial (random)</w:t>
            </w:r>
          </w:p>
        </w:tc>
        <w:tc>
          <w:tcPr>
            <w:tcW w:w="1150" w:type="dxa"/>
            <w:tcBorders>
              <w:top w:val="double" w:sz="4" w:space="0" w:color="auto"/>
              <w:left w:val="nil"/>
              <w:bottom w:val="single" w:sz="4" w:space="0" w:color="auto"/>
              <w:right w:val="nil"/>
            </w:tcBorders>
            <w:shd w:val="clear" w:color="auto" w:fill="auto"/>
            <w:noWrap/>
            <w:hideMark/>
          </w:tcPr>
          <w:p w14:paraId="4CAFA5B8"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AIC</w:t>
            </w:r>
          </w:p>
        </w:tc>
        <w:tc>
          <w:tcPr>
            <w:tcW w:w="1118" w:type="dxa"/>
            <w:tcBorders>
              <w:top w:val="double" w:sz="4" w:space="0" w:color="auto"/>
              <w:left w:val="nil"/>
              <w:bottom w:val="single" w:sz="4" w:space="0" w:color="auto"/>
              <w:right w:val="nil"/>
            </w:tcBorders>
            <w:shd w:val="clear" w:color="auto" w:fill="auto"/>
            <w:noWrap/>
            <w:hideMark/>
          </w:tcPr>
          <w:p w14:paraId="0975715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compared to</w:t>
            </w:r>
          </w:p>
        </w:tc>
        <w:tc>
          <w:tcPr>
            <w:tcW w:w="1134" w:type="dxa"/>
            <w:tcBorders>
              <w:top w:val="double" w:sz="4" w:space="0" w:color="auto"/>
              <w:left w:val="nil"/>
              <w:bottom w:val="single" w:sz="4" w:space="0" w:color="auto"/>
              <w:right w:val="nil"/>
            </w:tcBorders>
            <w:shd w:val="clear" w:color="auto" w:fill="auto"/>
            <w:noWrap/>
            <w:hideMark/>
          </w:tcPr>
          <w:p w14:paraId="7988F25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delta AIC</w:t>
            </w:r>
          </w:p>
        </w:tc>
        <w:tc>
          <w:tcPr>
            <w:tcW w:w="992" w:type="dxa"/>
            <w:tcBorders>
              <w:top w:val="double" w:sz="4" w:space="0" w:color="auto"/>
              <w:left w:val="nil"/>
              <w:bottom w:val="single" w:sz="4" w:space="0" w:color="auto"/>
              <w:right w:val="nil"/>
            </w:tcBorders>
            <w:shd w:val="clear" w:color="auto" w:fill="auto"/>
            <w:noWrap/>
            <w:hideMark/>
          </w:tcPr>
          <w:p w14:paraId="15C6ADA2" w14:textId="77777777" w:rsidR="005E6D0E" w:rsidRPr="00EF466D" w:rsidRDefault="005E6D0E" w:rsidP="00CD0823">
            <w:pPr>
              <w:spacing w:after="0" w:line="240" w:lineRule="auto"/>
              <w:rPr>
                <w:rFonts w:eastAsia="Times New Roman" w:cs="Times New Roman"/>
                <w:color w:val="000000"/>
                <w:sz w:val="20"/>
                <w:szCs w:val="20"/>
                <w:lang w:eastAsia="en-GB"/>
              </w:rPr>
            </w:pPr>
            <w:proofErr w:type="spellStart"/>
            <w:r w:rsidRPr="00EF466D">
              <w:rPr>
                <w:rFonts w:eastAsia="Times New Roman" w:cs="Times New Roman"/>
                <w:color w:val="000000"/>
                <w:sz w:val="20"/>
                <w:szCs w:val="20"/>
                <w:lang w:eastAsia="en-GB"/>
              </w:rPr>
              <w:t>LogL</w:t>
            </w:r>
            <w:proofErr w:type="spellEnd"/>
          </w:p>
        </w:tc>
        <w:tc>
          <w:tcPr>
            <w:tcW w:w="984" w:type="dxa"/>
            <w:tcBorders>
              <w:top w:val="double" w:sz="4" w:space="0" w:color="auto"/>
              <w:left w:val="nil"/>
              <w:bottom w:val="single" w:sz="4" w:space="0" w:color="auto"/>
              <w:right w:val="nil"/>
            </w:tcBorders>
            <w:shd w:val="clear" w:color="auto" w:fill="auto"/>
            <w:noWrap/>
            <w:hideMark/>
          </w:tcPr>
          <w:p w14:paraId="01FFDD39" w14:textId="77777777" w:rsidR="005E6D0E" w:rsidRPr="00EF466D" w:rsidRDefault="005E6D0E" w:rsidP="00CD0823">
            <w:pPr>
              <w:spacing w:after="0" w:line="240" w:lineRule="auto"/>
              <w:rPr>
                <w:rFonts w:eastAsia="Times New Roman" w:cs="Times New Roman"/>
                <w:color w:val="000000"/>
                <w:sz w:val="20"/>
                <w:szCs w:val="20"/>
                <w:lang w:eastAsia="en-GB"/>
              </w:rPr>
            </w:pPr>
            <w:proofErr w:type="spellStart"/>
            <w:r w:rsidRPr="00EF466D">
              <w:rPr>
                <w:rFonts w:eastAsia="Times New Roman" w:cs="Times New Roman"/>
                <w:color w:val="000000"/>
                <w:sz w:val="20"/>
                <w:szCs w:val="20"/>
                <w:lang w:eastAsia="en-GB"/>
              </w:rPr>
              <w:t>logLratio</w:t>
            </w:r>
            <w:proofErr w:type="spellEnd"/>
          </w:p>
        </w:tc>
      </w:tr>
      <w:tr w:rsidR="005E6D0E" w:rsidRPr="00EB7143" w14:paraId="3F64B8A6" w14:textId="77777777" w:rsidTr="00CD0823">
        <w:trPr>
          <w:trHeight w:val="283"/>
        </w:trPr>
        <w:tc>
          <w:tcPr>
            <w:tcW w:w="1101" w:type="dxa"/>
            <w:tcBorders>
              <w:top w:val="nil"/>
              <w:left w:val="nil"/>
              <w:bottom w:val="nil"/>
              <w:right w:val="nil"/>
            </w:tcBorders>
            <w:shd w:val="clear" w:color="auto" w:fill="auto"/>
            <w:noWrap/>
            <w:vAlign w:val="center"/>
            <w:hideMark/>
          </w:tcPr>
          <w:p w14:paraId="72B11765"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8</w:t>
            </w:r>
          </w:p>
        </w:tc>
        <w:tc>
          <w:tcPr>
            <w:tcW w:w="1031" w:type="dxa"/>
            <w:tcBorders>
              <w:top w:val="nil"/>
              <w:left w:val="nil"/>
              <w:bottom w:val="nil"/>
              <w:right w:val="nil"/>
            </w:tcBorders>
            <w:shd w:val="clear" w:color="auto" w:fill="auto"/>
            <w:noWrap/>
            <w:vAlign w:val="center"/>
            <w:hideMark/>
          </w:tcPr>
          <w:p w14:paraId="0EDB6E03"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cubic</w:t>
            </w:r>
          </w:p>
        </w:tc>
        <w:tc>
          <w:tcPr>
            <w:tcW w:w="1276" w:type="dxa"/>
            <w:tcBorders>
              <w:top w:val="nil"/>
              <w:left w:val="nil"/>
              <w:bottom w:val="nil"/>
              <w:right w:val="nil"/>
            </w:tcBorders>
            <w:shd w:val="clear" w:color="auto" w:fill="auto"/>
            <w:noWrap/>
            <w:vAlign w:val="center"/>
            <w:hideMark/>
          </w:tcPr>
          <w:p w14:paraId="1318275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cubic</w:t>
            </w:r>
          </w:p>
        </w:tc>
        <w:tc>
          <w:tcPr>
            <w:tcW w:w="1150" w:type="dxa"/>
            <w:tcBorders>
              <w:top w:val="nil"/>
              <w:left w:val="nil"/>
              <w:bottom w:val="nil"/>
              <w:right w:val="nil"/>
            </w:tcBorders>
            <w:shd w:val="clear" w:color="auto" w:fill="auto"/>
            <w:noWrap/>
            <w:vAlign w:val="center"/>
            <w:hideMark/>
          </w:tcPr>
          <w:p w14:paraId="20AAA5BA"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not converged</w:t>
            </w:r>
          </w:p>
        </w:tc>
        <w:tc>
          <w:tcPr>
            <w:tcW w:w="1118" w:type="dxa"/>
            <w:tcBorders>
              <w:top w:val="nil"/>
              <w:left w:val="nil"/>
              <w:bottom w:val="nil"/>
              <w:right w:val="nil"/>
            </w:tcBorders>
            <w:shd w:val="clear" w:color="auto" w:fill="auto"/>
            <w:noWrap/>
            <w:vAlign w:val="center"/>
            <w:hideMark/>
          </w:tcPr>
          <w:p w14:paraId="4DA497FA" w14:textId="77777777" w:rsidR="005E6D0E" w:rsidRPr="00EF466D"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w:t>
            </w:r>
          </w:p>
        </w:tc>
        <w:tc>
          <w:tcPr>
            <w:tcW w:w="1134" w:type="dxa"/>
            <w:tcBorders>
              <w:top w:val="nil"/>
              <w:left w:val="nil"/>
              <w:bottom w:val="nil"/>
              <w:right w:val="nil"/>
            </w:tcBorders>
            <w:shd w:val="clear" w:color="auto" w:fill="auto"/>
            <w:noWrap/>
            <w:vAlign w:val="center"/>
            <w:hideMark/>
          </w:tcPr>
          <w:p w14:paraId="3E672FA2" w14:textId="77777777" w:rsidR="005E6D0E" w:rsidRPr="00EF466D"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w:t>
            </w:r>
          </w:p>
        </w:tc>
        <w:tc>
          <w:tcPr>
            <w:tcW w:w="992" w:type="dxa"/>
            <w:tcBorders>
              <w:top w:val="nil"/>
              <w:left w:val="nil"/>
              <w:bottom w:val="nil"/>
              <w:right w:val="nil"/>
            </w:tcBorders>
            <w:shd w:val="clear" w:color="auto" w:fill="auto"/>
            <w:noWrap/>
            <w:vAlign w:val="center"/>
            <w:hideMark/>
          </w:tcPr>
          <w:p w14:paraId="179B1D37" w14:textId="77777777" w:rsidR="005E6D0E" w:rsidRPr="00EF466D"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w:t>
            </w:r>
          </w:p>
        </w:tc>
        <w:tc>
          <w:tcPr>
            <w:tcW w:w="984" w:type="dxa"/>
            <w:tcBorders>
              <w:top w:val="nil"/>
              <w:left w:val="nil"/>
              <w:bottom w:val="nil"/>
              <w:right w:val="nil"/>
            </w:tcBorders>
            <w:shd w:val="clear" w:color="auto" w:fill="auto"/>
            <w:noWrap/>
            <w:vAlign w:val="center"/>
            <w:hideMark/>
          </w:tcPr>
          <w:p w14:paraId="34BC85C5" w14:textId="77777777" w:rsidR="005E6D0E" w:rsidRPr="00EF466D"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w:t>
            </w:r>
          </w:p>
        </w:tc>
      </w:tr>
      <w:tr w:rsidR="005E6D0E" w:rsidRPr="00EB7143" w14:paraId="6490EB1F" w14:textId="77777777" w:rsidTr="00CD0823">
        <w:trPr>
          <w:trHeight w:val="283"/>
        </w:trPr>
        <w:tc>
          <w:tcPr>
            <w:tcW w:w="1101" w:type="dxa"/>
            <w:tcBorders>
              <w:top w:val="nil"/>
              <w:left w:val="nil"/>
              <w:right w:val="nil"/>
            </w:tcBorders>
            <w:shd w:val="clear" w:color="auto" w:fill="auto"/>
            <w:noWrap/>
            <w:vAlign w:val="center"/>
            <w:hideMark/>
          </w:tcPr>
          <w:p w14:paraId="160C893B"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9</w:t>
            </w:r>
          </w:p>
        </w:tc>
        <w:tc>
          <w:tcPr>
            <w:tcW w:w="1031" w:type="dxa"/>
            <w:tcBorders>
              <w:top w:val="nil"/>
              <w:left w:val="nil"/>
              <w:right w:val="nil"/>
            </w:tcBorders>
            <w:shd w:val="clear" w:color="auto" w:fill="auto"/>
            <w:noWrap/>
            <w:vAlign w:val="center"/>
            <w:hideMark/>
          </w:tcPr>
          <w:p w14:paraId="79F95680"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quadratic</w:t>
            </w:r>
          </w:p>
        </w:tc>
        <w:tc>
          <w:tcPr>
            <w:tcW w:w="1276" w:type="dxa"/>
            <w:tcBorders>
              <w:top w:val="nil"/>
              <w:left w:val="nil"/>
              <w:right w:val="nil"/>
            </w:tcBorders>
            <w:shd w:val="clear" w:color="auto" w:fill="auto"/>
            <w:noWrap/>
            <w:vAlign w:val="center"/>
            <w:hideMark/>
          </w:tcPr>
          <w:p w14:paraId="6D7863EF"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quadratic</w:t>
            </w:r>
          </w:p>
        </w:tc>
        <w:tc>
          <w:tcPr>
            <w:tcW w:w="1150" w:type="dxa"/>
            <w:tcBorders>
              <w:top w:val="nil"/>
              <w:left w:val="nil"/>
              <w:right w:val="nil"/>
            </w:tcBorders>
            <w:shd w:val="clear" w:color="auto" w:fill="auto"/>
            <w:noWrap/>
            <w:vAlign w:val="center"/>
            <w:hideMark/>
          </w:tcPr>
          <w:p w14:paraId="3E9EB632"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-5966.65</w:t>
            </w:r>
          </w:p>
        </w:tc>
        <w:tc>
          <w:tcPr>
            <w:tcW w:w="1118" w:type="dxa"/>
            <w:tcBorders>
              <w:top w:val="nil"/>
              <w:left w:val="nil"/>
              <w:right w:val="nil"/>
            </w:tcBorders>
            <w:shd w:val="clear" w:color="auto" w:fill="auto"/>
            <w:noWrap/>
            <w:vAlign w:val="center"/>
            <w:hideMark/>
          </w:tcPr>
          <w:p w14:paraId="69C0651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9</w:t>
            </w:r>
          </w:p>
        </w:tc>
        <w:tc>
          <w:tcPr>
            <w:tcW w:w="1134" w:type="dxa"/>
            <w:tcBorders>
              <w:top w:val="nil"/>
              <w:left w:val="nil"/>
              <w:right w:val="nil"/>
            </w:tcBorders>
            <w:shd w:val="clear" w:color="auto" w:fill="auto"/>
            <w:noWrap/>
            <w:vAlign w:val="center"/>
            <w:hideMark/>
          </w:tcPr>
          <w:p w14:paraId="14F23344"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0</w:t>
            </w:r>
          </w:p>
        </w:tc>
        <w:tc>
          <w:tcPr>
            <w:tcW w:w="992" w:type="dxa"/>
            <w:tcBorders>
              <w:top w:val="nil"/>
              <w:left w:val="nil"/>
              <w:right w:val="nil"/>
            </w:tcBorders>
            <w:shd w:val="clear" w:color="auto" w:fill="auto"/>
            <w:noWrap/>
            <w:vAlign w:val="center"/>
            <w:hideMark/>
          </w:tcPr>
          <w:p w14:paraId="2AA5755F"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2990.32</w:t>
            </w:r>
          </w:p>
        </w:tc>
        <w:tc>
          <w:tcPr>
            <w:tcW w:w="984" w:type="dxa"/>
            <w:tcBorders>
              <w:top w:val="nil"/>
              <w:left w:val="nil"/>
              <w:right w:val="nil"/>
            </w:tcBorders>
            <w:shd w:val="clear" w:color="auto" w:fill="auto"/>
            <w:noWrap/>
            <w:vAlign w:val="center"/>
            <w:hideMark/>
          </w:tcPr>
          <w:p w14:paraId="289483C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0</w:t>
            </w:r>
          </w:p>
        </w:tc>
      </w:tr>
      <w:tr w:rsidR="005E6D0E" w:rsidRPr="00EB7143" w14:paraId="49560E26" w14:textId="77777777" w:rsidTr="00CD0823">
        <w:trPr>
          <w:trHeight w:val="283"/>
        </w:trPr>
        <w:tc>
          <w:tcPr>
            <w:tcW w:w="1101" w:type="dxa"/>
            <w:tcBorders>
              <w:top w:val="nil"/>
              <w:left w:val="nil"/>
              <w:right w:val="nil"/>
            </w:tcBorders>
            <w:shd w:val="clear" w:color="auto" w:fill="auto"/>
            <w:noWrap/>
            <w:vAlign w:val="center"/>
          </w:tcPr>
          <w:p w14:paraId="2698DF14" w14:textId="77777777" w:rsidR="005E6D0E" w:rsidRPr="00EB7143"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model 1</w:t>
            </w:r>
            <w:r>
              <w:rPr>
                <w:rFonts w:eastAsia="Times New Roman" w:cs="Times New Roman"/>
                <w:color w:val="000000"/>
                <w:sz w:val="20"/>
                <w:szCs w:val="20"/>
                <w:lang w:eastAsia="en-GB"/>
              </w:rPr>
              <w:t>0</w:t>
            </w:r>
          </w:p>
        </w:tc>
        <w:tc>
          <w:tcPr>
            <w:tcW w:w="1031" w:type="dxa"/>
            <w:tcBorders>
              <w:top w:val="nil"/>
              <w:left w:val="nil"/>
              <w:right w:val="nil"/>
            </w:tcBorders>
            <w:shd w:val="clear" w:color="auto" w:fill="auto"/>
            <w:noWrap/>
            <w:vAlign w:val="center"/>
          </w:tcPr>
          <w:p w14:paraId="51B2BB6F" w14:textId="77777777" w:rsidR="005E6D0E" w:rsidRPr="00EB7143"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quadratic</w:t>
            </w:r>
          </w:p>
        </w:tc>
        <w:tc>
          <w:tcPr>
            <w:tcW w:w="1276" w:type="dxa"/>
            <w:tcBorders>
              <w:top w:val="nil"/>
              <w:left w:val="nil"/>
              <w:right w:val="nil"/>
            </w:tcBorders>
            <w:shd w:val="clear" w:color="auto" w:fill="auto"/>
            <w:noWrap/>
            <w:vAlign w:val="center"/>
          </w:tcPr>
          <w:p w14:paraId="50CD81DE" w14:textId="77777777" w:rsidR="005E6D0E" w:rsidRPr="00EB7143" w:rsidRDefault="005E6D0E" w:rsidP="00CD0823">
            <w:pPr>
              <w:spacing w:after="0" w:line="240" w:lineRule="auto"/>
              <w:rPr>
                <w:rFonts w:eastAsia="Times New Roman" w:cs="Times New Roman"/>
                <w:color w:val="000000"/>
                <w:sz w:val="20"/>
                <w:szCs w:val="20"/>
                <w:lang w:eastAsia="en-GB"/>
              </w:rPr>
            </w:pPr>
            <w:r w:rsidRPr="00EB7143">
              <w:rPr>
                <w:rFonts w:eastAsia="Times New Roman" w:cs="Times New Roman"/>
                <w:color w:val="000000"/>
                <w:sz w:val="20"/>
                <w:szCs w:val="20"/>
                <w:lang w:eastAsia="en-GB"/>
              </w:rPr>
              <w:t>linear</w:t>
            </w:r>
          </w:p>
        </w:tc>
        <w:tc>
          <w:tcPr>
            <w:tcW w:w="1150" w:type="dxa"/>
            <w:tcBorders>
              <w:top w:val="nil"/>
              <w:left w:val="nil"/>
              <w:right w:val="nil"/>
            </w:tcBorders>
            <w:shd w:val="clear" w:color="auto" w:fill="auto"/>
            <w:noWrap/>
            <w:vAlign w:val="center"/>
          </w:tcPr>
          <w:p w14:paraId="76FBF4BE" w14:textId="77777777" w:rsidR="005E6D0E" w:rsidRPr="00EB7143" w:rsidRDefault="005E6D0E" w:rsidP="00CD0823">
            <w:pPr>
              <w:spacing w:line="240" w:lineRule="auto"/>
              <w:rPr>
                <w:color w:val="000000"/>
                <w:sz w:val="20"/>
                <w:szCs w:val="20"/>
              </w:rPr>
            </w:pPr>
            <w:r w:rsidRPr="00EB7143">
              <w:rPr>
                <w:color w:val="000000"/>
                <w:sz w:val="20"/>
                <w:szCs w:val="20"/>
              </w:rPr>
              <w:t>-5964.58</w:t>
            </w:r>
          </w:p>
        </w:tc>
        <w:tc>
          <w:tcPr>
            <w:tcW w:w="1118" w:type="dxa"/>
            <w:tcBorders>
              <w:top w:val="nil"/>
              <w:left w:val="nil"/>
              <w:right w:val="nil"/>
            </w:tcBorders>
            <w:shd w:val="clear" w:color="auto" w:fill="auto"/>
            <w:noWrap/>
            <w:vAlign w:val="center"/>
          </w:tcPr>
          <w:p w14:paraId="3AE907B9" w14:textId="77777777" w:rsidR="005E6D0E" w:rsidRPr="00EB7143" w:rsidRDefault="005E6D0E" w:rsidP="00CD0823">
            <w:pPr>
              <w:spacing w:line="240" w:lineRule="auto"/>
              <w:rPr>
                <w:color w:val="000000"/>
                <w:sz w:val="20"/>
                <w:szCs w:val="20"/>
              </w:rPr>
            </w:pPr>
            <w:r w:rsidRPr="00EB7143">
              <w:rPr>
                <w:color w:val="000000"/>
                <w:sz w:val="20"/>
                <w:szCs w:val="20"/>
              </w:rPr>
              <w:t>model 9</w:t>
            </w:r>
          </w:p>
        </w:tc>
        <w:tc>
          <w:tcPr>
            <w:tcW w:w="1134" w:type="dxa"/>
            <w:tcBorders>
              <w:top w:val="nil"/>
              <w:left w:val="nil"/>
              <w:right w:val="nil"/>
            </w:tcBorders>
            <w:shd w:val="clear" w:color="auto" w:fill="auto"/>
            <w:noWrap/>
            <w:vAlign w:val="center"/>
          </w:tcPr>
          <w:p w14:paraId="18DA10DD" w14:textId="77777777" w:rsidR="005E6D0E" w:rsidRPr="00EB7143" w:rsidRDefault="005E6D0E" w:rsidP="00CD0823">
            <w:pPr>
              <w:spacing w:line="240" w:lineRule="auto"/>
              <w:rPr>
                <w:color w:val="000000"/>
                <w:sz w:val="20"/>
                <w:szCs w:val="20"/>
              </w:rPr>
            </w:pPr>
            <w:r w:rsidRPr="00EB7143">
              <w:rPr>
                <w:color w:val="000000"/>
                <w:sz w:val="20"/>
                <w:szCs w:val="20"/>
              </w:rPr>
              <w:t>2.07</w:t>
            </w:r>
          </w:p>
        </w:tc>
        <w:tc>
          <w:tcPr>
            <w:tcW w:w="992" w:type="dxa"/>
            <w:tcBorders>
              <w:top w:val="nil"/>
              <w:left w:val="nil"/>
              <w:right w:val="nil"/>
            </w:tcBorders>
            <w:shd w:val="clear" w:color="auto" w:fill="auto"/>
            <w:noWrap/>
            <w:vAlign w:val="center"/>
          </w:tcPr>
          <w:p w14:paraId="00C59ACC" w14:textId="77777777" w:rsidR="005E6D0E" w:rsidRPr="00EB7143" w:rsidRDefault="005E6D0E" w:rsidP="00CD0823">
            <w:pPr>
              <w:spacing w:line="240" w:lineRule="auto"/>
              <w:rPr>
                <w:color w:val="000000"/>
                <w:sz w:val="20"/>
                <w:szCs w:val="20"/>
              </w:rPr>
            </w:pPr>
            <w:r w:rsidRPr="00EB7143">
              <w:rPr>
                <w:color w:val="000000"/>
                <w:sz w:val="20"/>
                <w:szCs w:val="20"/>
              </w:rPr>
              <w:t>2986.29</w:t>
            </w:r>
          </w:p>
        </w:tc>
        <w:tc>
          <w:tcPr>
            <w:tcW w:w="984" w:type="dxa"/>
            <w:tcBorders>
              <w:top w:val="nil"/>
              <w:left w:val="nil"/>
              <w:right w:val="nil"/>
            </w:tcBorders>
            <w:shd w:val="clear" w:color="auto" w:fill="auto"/>
            <w:noWrap/>
            <w:vAlign w:val="center"/>
          </w:tcPr>
          <w:p w14:paraId="37D0338A" w14:textId="77777777" w:rsidR="005E6D0E" w:rsidRPr="00EB7143" w:rsidRDefault="005E6D0E" w:rsidP="00CD0823">
            <w:pPr>
              <w:keepNext/>
              <w:spacing w:line="240" w:lineRule="auto"/>
              <w:rPr>
                <w:color w:val="000000"/>
                <w:sz w:val="20"/>
                <w:szCs w:val="20"/>
              </w:rPr>
            </w:pPr>
            <w:r w:rsidRPr="00EB7143">
              <w:rPr>
                <w:color w:val="000000"/>
                <w:sz w:val="20"/>
                <w:szCs w:val="20"/>
              </w:rPr>
              <w:t>8.06</w:t>
            </w:r>
          </w:p>
        </w:tc>
      </w:tr>
      <w:tr w:rsidR="005E6D0E" w:rsidRPr="00EB7143" w14:paraId="2A01E667" w14:textId="77777777" w:rsidTr="00CD0823">
        <w:trPr>
          <w:trHeight w:val="283"/>
        </w:trPr>
        <w:tc>
          <w:tcPr>
            <w:tcW w:w="1101" w:type="dxa"/>
            <w:tcBorders>
              <w:top w:val="nil"/>
              <w:left w:val="nil"/>
              <w:bottom w:val="single" w:sz="4" w:space="0" w:color="auto"/>
              <w:right w:val="nil"/>
            </w:tcBorders>
            <w:shd w:val="clear" w:color="auto" w:fill="auto"/>
            <w:noWrap/>
            <w:vAlign w:val="center"/>
            <w:hideMark/>
          </w:tcPr>
          <w:p w14:paraId="0569A505"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1</w:t>
            </w:r>
            <w:r>
              <w:rPr>
                <w:rFonts w:eastAsia="Times New Roman" w:cs="Times New Roman"/>
                <w:color w:val="000000"/>
                <w:sz w:val="20"/>
                <w:szCs w:val="20"/>
                <w:lang w:eastAsia="en-GB"/>
              </w:rPr>
              <w:t>1</w:t>
            </w:r>
          </w:p>
        </w:tc>
        <w:tc>
          <w:tcPr>
            <w:tcW w:w="1031" w:type="dxa"/>
            <w:tcBorders>
              <w:top w:val="nil"/>
              <w:left w:val="nil"/>
              <w:bottom w:val="single" w:sz="4" w:space="0" w:color="auto"/>
              <w:right w:val="nil"/>
            </w:tcBorders>
            <w:shd w:val="clear" w:color="auto" w:fill="auto"/>
            <w:noWrap/>
            <w:vAlign w:val="center"/>
            <w:hideMark/>
          </w:tcPr>
          <w:p w14:paraId="40EC62CB"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quadratic</w:t>
            </w:r>
          </w:p>
        </w:tc>
        <w:tc>
          <w:tcPr>
            <w:tcW w:w="1276" w:type="dxa"/>
            <w:tcBorders>
              <w:top w:val="nil"/>
              <w:left w:val="nil"/>
              <w:bottom w:val="single" w:sz="4" w:space="0" w:color="auto"/>
              <w:right w:val="nil"/>
            </w:tcBorders>
            <w:shd w:val="clear" w:color="auto" w:fill="auto"/>
            <w:noWrap/>
            <w:vAlign w:val="center"/>
            <w:hideMark/>
          </w:tcPr>
          <w:p w14:paraId="4796E58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NULL</w:t>
            </w:r>
          </w:p>
        </w:tc>
        <w:tc>
          <w:tcPr>
            <w:tcW w:w="1150" w:type="dxa"/>
            <w:tcBorders>
              <w:top w:val="nil"/>
              <w:left w:val="nil"/>
              <w:bottom w:val="single" w:sz="4" w:space="0" w:color="auto"/>
              <w:right w:val="nil"/>
            </w:tcBorders>
            <w:shd w:val="clear" w:color="auto" w:fill="auto"/>
            <w:noWrap/>
            <w:vAlign w:val="center"/>
            <w:hideMark/>
          </w:tcPr>
          <w:p w14:paraId="02EF64F4"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-5963.41</w:t>
            </w:r>
          </w:p>
        </w:tc>
        <w:tc>
          <w:tcPr>
            <w:tcW w:w="1118" w:type="dxa"/>
            <w:tcBorders>
              <w:top w:val="nil"/>
              <w:left w:val="nil"/>
              <w:bottom w:val="single" w:sz="4" w:space="0" w:color="auto"/>
              <w:right w:val="nil"/>
            </w:tcBorders>
            <w:shd w:val="clear" w:color="auto" w:fill="auto"/>
            <w:noWrap/>
            <w:vAlign w:val="center"/>
            <w:hideMark/>
          </w:tcPr>
          <w:p w14:paraId="35008503"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model 9</w:t>
            </w:r>
          </w:p>
        </w:tc>
        <w:tc>
          <w:tcPr>
            <w:tcW w:w="1134" w:type="dxa"/>
            <w:tcBorders>
              <w:top w:val="nil"/>
              <w:left w:val="nil"/>
              <w:bottom w:val="single" w:sz="4" w:space="0" w:color="auto"/>
              <w:right w:val="nil"/>
            </w:tcBorders>
            <w:shd w:val="clear" w:color="auto" w:fill="auto"/>
            <w:noWrap/>
            <w:vAlign w:val="center"/>
            <w:hideMark/>
          </w:tcPr>
          <w:p w14:paraId="6FFB898C"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3.24</w:t>
            </w:r>
          </w:p>
        </w:tc>
        <w:tc>
          <w:tcPr>
            <w:tcW w:w="992" w:type="dxa"/>
            <w:tcBorders>
              <w:top w:val="nil"/>
              <w:left w:val="nil"/>
              <w:bottom w:val="single" w:sz="4" w:space="0" w:color="auto"/>
              <w:right w:val="nil"/>
            </w:tcBorders>
            <w:shd w:val="clear" w:color="auto" w:fill="auto"/>
            <w:noWrap/>
            <w:vAlign w:val="center"/>
            <w:hideMark/>
          </w:tcPr>
          <w:p w14:paraId="1FD8BF51"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2983.7</w:t>
            </w:r>
          </w:p>
        </w:tc>
        <w:tc>
          <w:tcPr>
            <w:tcW w:w="984" w:type="dxa"/>
            <w:tcBorders>
              <w:top w:val="nil"/>
              <w:left w:val="nil"/>
              <w:bottom w:val="single" w:sz="4" w:space="0" w:color="auto"/>
              <w:right w:val="nil"/>
            </w:tcBorders>
            <w:shd w:val="clear" w:color="auto" w:fill="auto"/>
            <w:noWrap/>
            <w:vAlign w:val="center"/>
            <w:hideMark/>
          </w:tcPr>
          <w:p w14:paraId="593038DA" w14:textId="77777777" w:rsidR="005E6D0E" w:rsidRPr="00EF466D" w:rsidRDefault="005E6D0E" w:rsidP="00CD0823">
            <w:pPr>
              <w:spacing w:after="0" w:line="240" w:lineRule="auto"/>
              <w:rPr>
                <w:rFonts w:eastAsia="Times New Roman" w:cs="Times New Roman"/>
                <w:color w:val="000000"/>
                <w:sz w:val="20"/>
                <w:szCs w:val="20"/>
                <w:lang w:eastAsia="en-GB"/>
              </w:rPr>
            </w:pPr>
            <w:r w:rsidRPr="00EF466D">
              <w:rPr>
                <w:rFonts w:eastAsia="Times New Roman" w:cs="Times New Roman"/>
                <w:color w:val="000000"/>
                <w:sz w:val="20"/>
                <w:szCs w:val="20"/>
                <w:lang w:eastAsia="en-GB"/>
              </w:rPr>
              <w:t>13.24</w:t>
            </w:r>
          </w:p>
        </w:tc>
      </w:tr>
    </w:tbl>
    <w:p w14:paraId="25F0C3C7" w14:textId="77777777" w:rsidR="005E6D0E" w:rsidRPr="0034075B" w:rsidRDefault="005E6D0E" w:rsidP="005E6D0E">
      <w:pPr>
        <w:pStyle w:val="Caption"/>
        <w:rPr>
          <w:sz w:val="8"/>
          <w:szCs w:val="8"/>
        </w:rPr>
      </w:pPr>
    </w:p>
    <w:p w14:paraId="5393BE1F" w14:textId="77777777" w:rsidR="005E6D0E" w:rsidRDefault="005E6D0E" w:rsidP="005E6D0E">
      <w:r>
        <w:t xml:space="preserve">Next, we tested in the random regression model if a heterogeneous variance structure improved the model fit further. First we considered four and then two different variance groups (Table S4). </w:t>
      </w:r>
    </w:p>
    <w:p w14:paraId="65F18B2B" w14:textId="77777777" w:rsidR="005E6D0E" w:rsidRDefault="005E6D0E" w:rsidP="005E6D0E">
      <w:r>
        <w:br w:type="page"/>
      </w:r>
    </w:p>
    <w:p w14:paraId="2F56F923" w14:textId="77777777" w:rsidR="0087391F" w:rsidRPr="0034075B" w:rsidRDefault="0087391F" w:rsidP="0087391F">
      <w:pPr>
        <w:pStyle w:val="Caption"/>
        <w:rPr>
          <w:b w:val="0"/>
        </w:rPr>
      </w:pPr>
      <w:bookmarkStart w:id="4" w:name="_Toc494238479"/>
      <w:r>
        <w:lastRenderedPageBreak/>
        <w:t>Table S4</w:t>
      </w:r>
      <w:r w:rsidRPr="0034075B">
        <w:t xml:space="preserve">: Testing a heterogeneous variance for 1) four different age groups 2) two different age groups; </w:t>
      </w:r>
      <m:oMath>
        <m:sSup>
          <m:sSupPr>
            <m:ctrlPr>
              <w:rPr>
                <w:rFonts w:ascii="Cambria Math" w:hAnsi="Cambria Math"/>
              </w:rPr>
            </m:ctrlPr>
          </m:sSupPr>
          <m:e>
            <m:r>
              <m:rPr>
                <m:sty m:val="bi"/>
              </m:rPr>
              <w:rPr>
                <w:rFonts w:ascii="Cambria Math" w:hAnsi="Cambria Math"/>
              </w:rPr>
              <m:t>σ</m:t>
            </m:r>
          </m:e>
          <m:sup>
            <m:r>
              <m:rPr>
                <m:sty m:val="b"/>
              </m:rPr>
              <w:rPr>
                <w:rFonts w:ascii="Cambria Math" w:hAnsi="Cambria Math"/>
              </w:rPr>
              <m:t>2</m:t>
            </m:r>
          </m:sup>
        </m:sSup>
      </m:oMath>
      <w:r w:rsidRPr="0034075B">
        <w:t xml:space="preserve"> – the residual variance estimate; SE – standard error</w:t>
      </w:r>
      <w:bookmarkEnd w:id="4"/>
    </w:p>
    <w:tbl>
      <w:tblPr>
        <w:tblW w:w="7331" w:type="dxa"/>
        <w:jc w:val="center"/>
        <w:tblInd w:w="93" w:type="dxa"/>
        <w:tblLook w:val="04A0" w:firstRow="1" w:lastRow="0" w:firstColumn="1" w:lastColumn="0" w:noHBand="0" w:noVBand="1"/>
      </w:tblPr>
      <w:tblGrid>
        <w:gridCol w:w="724"/>
        <w:gridCol w:w="1701"/>
        <w:gridCol w:w="1690"/>
        <w:gridCol w:w="992"/>
        <w:gridCol w:w="1362"/>
        <w:gridCol w:w="862"/>
      </w:tblGrid>
      <w:tr w:rsidR="005E6D0E" w:rsidRPr="0087391F" w14:paraId="35C8D550" w14:textId="77777777" w:rsidTr="0087391F">
        <w:trPr>
          <w:trHeight w:val="300"/>
          <w:jc w:val="center"/>
        </w:trPr>
        <w:tc>
          <w:tcPr>
            <w:tcW w:w="724" w:type="dxa"/>
            <w:tcBorders>
              <w:top w:val="double" w:sz="4" w:space="0" w:color="auto"/>
              <w:left w:val="nil"/>
              <w:bottom w:val="single" w:sz="4" w:space="0" w:color="auto"/>
              <w:right w:val="nil"/>
            </w:tcBorders>
          </w:tcPr>
          <w:p w14:paraId="7E74DDA3"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double" w:sz="4" w:space="0" w:color="auto"/>
              <w:left w:val="nil"/>
              <w:bottom w:val="single" w:sz="4" w:space="0" w:color="auto"/>
              <w:right w:val="nil"/>
            </w:tcBorders>
            <w:shd w:val="clear" w:color="auto" w:fill="auto"/>
            <w:noWrap/>
            <w:vAlign w:val="center"/>
            <w:hideMark/>
          </w:tcPr>
          <w:p w14:paraId="6467C16E"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age group</w:t>
            </w:r>
          </w:p>
        </w:tc>
        <w:tc>
          <w:tcPr>
            <w:tcW w:w="1690" w:type="dxa"/>
            <w:tcBorders>
              <w:top w:val="double" w:sz="4" w:space="0" w:color="auto"/>
              <w:left w:val="nil"/>
              <w:bottom w:val="single" w:sz="4" w:space="0" w:color="auto"/>
              <w:right w:val="nil"/>
            </w:tcBorders>
            <w:shd w:val="clear" w:color="auto" w:fill="auto"/>
            <w:noWrap/>
            <w:vAlign w:val="center"/>
            <w:hideMark/>
          </w:tcPr>
          <w:p w14:paraId="7B748587" w14:textId="77777777" w:rsidR="005E6D0E" w:rsidRPr="0087391F" w:rsidRDefault="00F90D16" w:rsidP="00CD0823">
            <w:pPr>
              <w:spacing w:after="0" w:line="240" w:lineRule="auto"/>
              <w:rPr>
                <w:rFonts w:ascii="Calibri" w:eastAsia="Times New Roman" w:hAnsi="Calibri" w:cs="Times New Roman"/>
                <w:color w:val="000000"/>
                <w:sz w:val="24"/>
                <w:lang w:eastAsia="en-GB"/>
              </w:rPr>
            </w:pPr>
            <m:oMathPara>
              <m:oMath>
                <m:sSup>
                  <m:sSupPr>
                    <m:ctrlPr>
                      <w:rPr>
                        <w:rFonts w:ascii="Cambria Math" w:eastAsia="Times New Roman" w:hAnsi="Cambria Math" w:cs="Times New Roman"/>
                        <w:i/>
                        <w:color w:val="000000"/>
                        <w:sz w:val="24"/>
                        <w:lang w:eastAsia="en-GB"/>
                      </w:rPr>
                    </m:ctrlPr>
                  </m:sSupPr>
                  <m:e>
                    <m:r>
                      <w:rPr>
                        <w:rFonts w:ascii="Cambria Math" w:eastAsia="Times New Roman" w:hAnsi="Cambria Math" w:cs="Times New Roman"/>
                        <w:color w:val="000000"/>
                        <w:sz w:val="24"/>
                        <w:lang w:eastAsia="en-GB"/>
                      </w:rPr>
                      <m:t>σ</m:t>
                    </m:r>
                  </m:e>
                  <m:sup>
                    <m:r>
                      <w:rPr>
                        <w:rFonts w:ascii="Cambria Math" w:eastAsia="Times New Roman" w:hAnsi="Cambria Math" w:cs="Times New Roman"/>
                        <w:color w:val="000000"/>
                        <w:sz w:val="24"/>
                        <w:lang w:eastAsia="en-GB"/>
                      </w:rPr>
                      <m:t>2</m:t>
                    </m:r>
                  </m:sup>
                </m:sSup>
              </m:oMath>
            </m:oMathPara>
          </w:p>
        </w:tc>
        <w:tc>
          <w:tcPr>
            <w:tcW w:w="992" w:type="dxa"/>
            <w:tcBorders>
              <w:top w:val="double" w:sz="4" w:space="0" w:color="auto"/>
              <w:left w:val="nil"/>
              <w:bottom w:val="single" w:sz="4" w:space="0" w:color="auto"/>
              <w:right w:val="nil"/>
            </w:tcBorders>
            <w:shd w:val="clear" w:color="auto" w:fill="auto"/>
            <w:noWrap/>
            <w:vAlign w:val="center"/>
            <w:hideMark/>
          </w:tcPr>
          <w:p w14:paraId="403393D0" w14:textId="77777777" w:rsidR="005E6D0E" w:rsidRPr="0087391F" w:rsidRDefault="00F90D16" w:rsidP="00CD0823">
            <w:pPr>
              <w:spacing w:after="0" w:line="240" w:lineRule="auto"/>
              <w:jc w:val="center"/>
              <w:rPr>
                <w:rFonts w:ascii="Calibri" w:eastAsia="Times New Roman" w:hAnsi="Calibri" w:cs="Times New Roman"/>
                <w:color w:val="000000"/>
                <w:sz w:val="24"/>
                <w:lang w:eastAsia="en-GB"/>
              </w:rPr>
            </w:pPr>
            <m:oMath>
              <m:sSup>
                <m:sSupPr>
                  <m:ctrlPr>
                    <w:rPr>
                      <w:rFonts w:ascii="Cambria Math" w:eastAsia="Times New Roman" w:hAnsi="Cambria Math" w:cs="Times New Roman"/>
                      <w:i/>
                      <w:color w:val="000000"/>
                      <w:sz w:val="24"/>
                      <w:lang w:eastAsia="en-GB"/>
                    </w:rPr>
                  </m:ctrlPr>
                </m:sSupPr>
                <m:e>
                  <m:r>
                    <w:rPr>
                      <w:rFonts w:ascii="Cambria Math" w:eastAsia="Times New Roman" w:hAnsi="Cambria Math" w:cs="Times New Roman"/>
                      <w:color w:val="000000"/>
                      <w:sz w:val="24"/>
                      <w:lang w:eastAsia="en-GB"/>
                    </w:rPr>
                    <m:t>σ</m:t>
                  </m:r>
                </m:e>
                <m:sup>
                  <m:r>
                    <w:rPr>
                      <w:rFonts w:ascii="Cambria Math" w:eastAsia="Times New Roman" w:hAnsi="Cambria Math" w:cs="Times New Roman"/>
                      <w:color w:val="000000"/>
                      <w:sz w:val="24"/>
                      <w:lang w:eastAsia="en-GB"/>
                    </w:rPr>
                    <m:t>2</m:t>
                  </m:r>
                </m:sup>
              </m:sSup>
            </m:oMath>
            <w:r w:rsidR="005E6D0E" w:rsidRPr="0087391F">
              <w:rPr>
                <w:rFonts w:ascii="Calibri" w:eastAsia="Times New Roman" w:hAnsi="Calibri" w:cs="Times New Roman"/>
                <w:color w:val="000000"/>
                <w:sz w:val="24"/>
                <w:lang w:eastAsia="en-GB"/>
              </w:rPr>
              <w:t>/SE</w:t>
            </w:r>
          </w:p>
        </w:tc>
        <w:tc>
          <w:tcPr>
            <w:tcW w:w="1362" w:type="dxa"/>
            <w:tcBorders>
              <w:top w:val="double" w:sz="4" w:space="0" w:color="auto"/>
              <w:left w:val="nil"/>
              <w:bottom w:val="single" w:sz="4" w:space="0" w:color="auto"/>
              <w:right w:val="nil"/>
            </w:tcBorders>
            <w:shd w:val="clear" w:color="auto" w:fill="auto"/>
            <w:noWrap/>
            <w:vAlign w:val="center"/>
            <w:hideMark/>
          </w:tcPr>
          <w:p w14:paraId="15BA7180"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SE</w:t>
            </w:r>
          </w:p>
        </w:tc>
        <w:tc>
          <w:tcPr>
            <w:tcW w:w="862" w:type="dxa"/>
            <w:tcBorders>
              <w:top w:val="double" w:sz="4" w:space="0" w:color="auto"/>
              <w:left w:val="nil"/>
              <w:bottom w:val="single" w:sz="4" w:space="0" w:color="auto"/>
              <w:right w:val="nil"/>
            </w:tcBorders>
            <w:shd w:val="clear" w:color="auto" w:fill="auto"/>
            <w:noWrap/>
            <w:vAlign w:val="center"/>
            <w:hideMark/>
          </w:tcPr>
          <w:p w14:paraId="2CA0F44C"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N</w:t>
            </w:r>
          </w:p>
        </w:tc>
      </w:tr>
      <w:tr w:rsidR="005E6D0E" w:rsidRPr="0087391F" w14:paraId="6C3292AA" w14:textId="77777777" w:rsidTr="0087391F">
        <w:trPr>
          <w:trHeight w:val="300"/>
          <w:jc w:val="center"/>
        </w:trPr>
        <w:tc>
          <w:tcPr>
            <w:tcW w:w="724" w:type="dxa"/>
            <w:tcBorders>
              <w:top w:val="single" w:sz="4" w:space="0" w:color="auto"/>
              <w:left w:val="nil"/>
              <w:bottom w:val="nil"/>
              <w:right w:val="nil"/>
            </w:tcBorders>
          </w:tcPr>
          <w:p w14:paraId="74AC1F66"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w:t>
            </w:r>
          </w:p>
        </w:tc>
        <w:tc>
          <w:tcPr>
            <w:tcW w:w="1701" w:type="dxa"/>
            <w:tcBorders>
              <w:top w:val="single" w:sz="4" w:space="0" w:color="auto"/>
              <w:left w:val="nil"/>
              <w:bottom w:val="nil"/>
              <w:right w:val="nil"/>
            </w:tcBorders>
            <w:shd w:val="clear" w:color="auto" w:fill="auto"/>
            <w:noWrap/>
            <w:vAlign w:val="center"/>
            <w:hideMark/>
          </w:tcPr>
          <w:p w14:paraId="0A3D74E2"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0-12 months</w:t>
            </w:r>
          </w:p>
        </w:tc>
        <w:tc>
          <w:tcPr>
            <w:tcW w:w="1690" w:type="dxa"/>
            <w:tcBorders>
              <w:top w:val="single" w:sz="4" w:space="0" w:color="auto"/>
              <w:left w:val="nil"/>
              <w:bottom w:val="nil"/>
              <w:right w:val="nil"/>
            </w:tcBorders>
            <w:shd w:val="clear" w:color="auto" w:fill="auto"/>
            <w:noWrap/>
            <w:vAlign w:val="center"/>
            <w:hideMark/>
          </w:tcPr>
          <w:p w14:paraId="72B9BA12" w14:textId="27E0AE8B"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2.57</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Pr="0087391F">
              <w:rPr>
                <w:rFonts w:ascii="Calibri" w:eastAsia="Times New Roman" w:hAnsi="Calibri" w:cs="Times New Roman"/>
                <w:color w:val="000000"/>
                <w:sz w:val="24"/>
                <w:vertAlign w:val="superscript"/>
                <w:lang w:eastAsia="en-GB"/>
              </w:rPr>
              <w:t>3</w:t>
            </w:r>
          </w:p>
        </w:tc>
        <w:tc>
          <w:tcPr>
            <w:tcW w:w="992" w:type="dxa"/>
            <w:tcBorders>
              <w:top w:val="single" w:sz="4" w:space="0" w:color="auto"/>
              <w:left w:val="nil"/>
              <w:bottom w:val="nil"/>
              <w:right w:val="nil"/>
            </w:tcBorders>
            <w:shd w:val="clear" w:color="auto" w:fill="auto"/>
            <w:noWrap/>
            <w:vAlign w:val="center"/>
            <w:hideMark/>
          </w:tcPr>
          <w:p w14:paraId="5A2438AD"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11.2</w:t>
            </w:r>
          </w:p>
        </w:tc>
        <w:tc>
          <w:tcPr>
            <w:tcW w:w="1362" w:type="dxa"/>
            <w:tcBorders>
              <w:top w:val="single" w:sz="4" w:space="0" w:color="auto"/>
              <w:left w:val="nil"/>
              <w:bottom w:val="nil"/>
              <w:right w:val="nil"/>
            </w:tcBorders>
            <w:shd w:val="clear" w:color="auto" w:fill="auto"/>
            <w:noWrap/>
            <w:vAlign w:val="center"/>
            <w:hideMark/>
          </w:tcPr>
          <w:p w14:paraId="3A9F3384" w14:textId="09AB4020" w:rsidR="005E6D0E" w:rsidRPr="0087391F" w:rsidRDefault="0087391F" w:rsidP="0087391F">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 xml:space="preserve">2.29 </w:t>
            </w:r>
            <w:r w:rsidRPr="0087391F">
              <w:rPr>
                <w:rFonts w:ascii="Calibri" w:eastAsia="Times New Roman" w:hAnsi="Calibri" w:cs="Times New Roman"/>
                <w:color w:val="000000"/>
                <w:sz w:val="24"/>
                <w:lang w:eastAsia="en-GB"/>
              </w:rPr>
              <w:t>x10</w:t>
            </w:r>
            <w:r>
              <w:rPr>
                <w:rFonts w:ascii="Calibri" w:eastAsia="Times New Roman" w:hAnsi="Calibri" w:cs="Times New Roman"/>
                <w:color w:val="000000"/>
                <w:sz w:val="24"/>
                <w:vertAlign w:val="superscript"/>
                <w:lang w:eastAsia="en-GB"/>
              </w:rPr>
              <w:t>-</w:t>
            </w:r>
            <w:r w:rsidRPr="0087391F">
              <w:rPr>
                <w:rFonts w:ascii="Calibri" w:eastAsia="Times New Roman" w:hAnsi="Calibri" w:cs="Times New Roman"/>
                <w:color w:val="000000"/>
                <w:sz w:val="24"/>
                <w:vertAlign w:val="superscript"/>
                <w:lang w:eastAsia="en-GB"/>
              </w:rPr>
              <w:t>4</w:t>
            </w:r>
          </w:p>
        </w:tc>
        <w:tc>
          <w:tcPr>
            <w:tcW w:w="862" w:type="dxa"/>
            <w:tcBorders>
              <w:top w:val="single" w:sz="4" w:space="0" w:color="auto"/>
              <w:left w:val="nil"/>
              <w:bottom w:val="nil"/>
              <w:right w:val="nil"/>
            </w:tcBorders>
            <w:shd w:val="clear" w:color="auto" w:fill="auto"/>
            <w:noWrap/>
            <w:vAlign w:val="center"/>
            <w:hideMark/>
          </w:tcPr>
          <w:p w14:paraId="088833A9"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465</w:t>
            </w:r>
          </w:p>
        </w:tc>
      </w:tr>
      <w:tr w:rsidR="005E6D0E" w:rsidRPr="0087391F" w14:paraId="44E9B425" w14:textId="77777777" w:rsidTr="0087391F">
        <w:trPr>
          <w:trHeight w:val="300"/>
          <w:jc w:val="center"/>
        </w:trPr>
        <w:tc>
          <w:tcPr>
            <w:tcW w:w="724" w:type="dxa"/>
            <w:tcBorders>
              <w:top w:val="nil"/>
              <w:left w:val="nil"/>
              <w:bottom w:val="nil"/>
              <w:right w:val="nil"/>
            </w:tcBorders>
          </w:tcPr>
          <w:p w14:paraId="6B316D68"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nil"/>
              <w:left w:val="nil"/>
              <w:bottom w:val="nil"/>
              <w:right w:val="nil"/>
            </w:tcBorders>
            <w:shd w:val="clear" w:color="auto" w:fill="auto"/>
            <w:noWrap/>
            <w:vAlign w:val="center"/>
            <w:hideMark/>
          </w:tcPr>
          <w:p w14:paraId="623F0CF7"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13-24 months</w:t>
            </w:r>
          </w:p>
        </w:tc>
        <w:tc>
          <w:tcPr>
            <w:tcW w:w="1690" w:type="dxa"/>
            <w:tcBorders>
              <w:top w:val="nil"/>
              <w:left w:val="nil"/>
              <w:bottom w:val="nil"/>
              <w:right w:val="nil"/>
            </w:tcBorders>
            <w:shd w:val="clear" w:color="auto" w:fill="auto"/>
            <w:noWrap/>
            <w:vAlign w:val="center"/>
            <w:hideMark/>
          </w:tcPr>
          <w:p w14:paraId="27E14602" w14:textId="775930CD"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1.96</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3</w:t>
            </w:r>
          </w:p>
        </w:tc>
        <w:tc>
          <w:tcPr>
            <w:tcW w:w="992" w:type="dxa"/>
            <w:tcBorders>
              <w:top w:val="nil"/>
              <w:left w:val="nil"/>
              <w:bottom w:val="nil"/>
              <w:right w:val="nil"/>
            </w:tcBorders>
            <w:shd w:val="clear" w:color="auto" w:fill="auto"/>
            <w:noWrap/>
            <w:vAlign w:val="center"/>
            <w:hideMark/>
          </w:tcPr>
          <w:p w14:paraId="0847923F"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8.55</w:t>
            </w:r>
          </w:p>
        </w:tc>
        <w:tc>
          <w:tcPr>
            <w:tcW w:w="1362" w:type="dxa"/>
            <w:tcBorders>
              <w:top w:val="nil"/>
              <w:left w:val="nil"/>
              <w:bottom w:val="nil"/>
              <w:right w:val="nil"/>
            </w:tcBorders>
            <w:shd w:val="clear" w:color="auto" w:fill="auto"/>
            <w:noWrap/>
            <w:vAlign w:val="center"/>
            <w:hideMark/>
          </w:tcPr>
          <w:p w14:paraId="3CC2345B" w14:textId="4D434DE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2.30</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4</w:t>
            </w:r>
          </w:p>
        </w:tc>
        <w:tc>
          <w:tcPr>
            <w:tcW w:w="862" w:type="dxa"/>
            <w:tcBorders>
              <w:top w:val="nil"/>
              <w:left w:val="nil"/>
              <w:bottom w:val="nil"/>
              <w:right w:val="nil"/>
            </w:tcBorders>
            <w:shd w:val="clear" w:color="auto" w:fill="auto"/>
            <w:noWrap/>
            <w:vAlign w:val="center"/>
            <w:hideMark/>
          </w:tcPr>
          <w:p w14:paraId="015F6D1D"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255</w:t>
            </w:r>
          </w:p>
        </w:tc>
      </w:tr>
      <w:tr w:rsidR="005E6D0E" w:rsidRPr="0087391F" w14:paraId="1705F2AD" w14:textId="77777777" w:rsidTr="0087391F">
        <w:trPr>
          <w:trHeight w:val="300"/>
          <w:jc w:val="center"/>
        </w:trPr>
        <w:tc>
          <w:tcPr>
            <w:tcW w:w="724" w:type="dxa"/>
            <w:tcBorders>
              <w:top w:val="nil"/>
              <w:left w:val="nil"/>
              <w:right w:val="nil"/>
            </w:tcBorders>
          </w:tcPr>
          <w:p w14:paraId="54B0DBA3"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nil"/>
              <w:left w:val="nil"/>
              <w:right w:val="nil"/>
            </w:tcBorders>
            <w:shd w:val="clear" w:color="auto" w:fill="auto"/>
            <w:noWrap/>
            <w:vAlign w:val="center"/>
            <w:hideMark/>
          </w:tcPr>
          <w:p w14:paraId="1FE6EC9C"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25- 40 months</w:t>
            </w:r>
          </w:p>
        </w:tc>
        <w:tc>
          <w:tcPr>
            <w:tcW w:w="1690" w:type="dxa"/>
            <w:tcBorders>
              <w:top w:val="nil"/>
              <w:left w:val="nil"/>
              <w:right w:val="nil"/>
            </w:tcBorders>
            <w:shd w:val="clear" w:color="auto" w:fill="auto"/>
            <w:noWrap/>
            <w:vAlign w:val="center"/>
            <w:hideMark/>
          </w:tcPr>
          <w:p w14:paraId="790FE1D4" w14:textId="522EA4DB"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2.35</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3</w:t>
            </w:r>
          </w:p>
        </w:tc>
        <w:tc>
          <w:tcPr>
            <w:tcW w:w="992" w:type="dxa"/>
            <w:tcBorders>
              <w:top w:val="nil"/>
              <w:left w:val="nil"/>
              <w:right w:val="nil"/>
            </w:tcBorders>
            <w:shd w:val="clear" w:color="auto" w:fill="auto"/>
            <w:noWrap/>
            <w:vAlign w:val="center"/>
            <w:hideMark/>
          </w:tcPr>
          <w:p w14:paraId="715774F4"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10.6</w:t>
            </w:r>
          </w:p>
        </w:tc>
        <w:tc>
          <w:tcPr>
            <w:tcW w:w="1362" w:type="dxa"/>
            <w:tcBorders>
              <w:top w:val="nil"/>
              <w:left w:val="nil"/>
              <w:right w:val="nil"/>
            </w:tcBorders>
            <w:shd w:val="clear" w:color="auto" w:fill="auto"/>
            <w:noWrap/>
            <w:vAlign w:val="center"/>
            <w:hideMark/>
          </w:tcPr>
          <w:p w14:paraId="432EA6E8" w14:textId="5CB4FA2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2.22</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4</w:t>
            </w:r>
          </w:p>
        </w:tc>
        <w:tc>
          <w:tcPr>
            <w:tcW w:w="862" w:type="dxa"/>
            <w:tcBorders>
              <w:top w:val="nil"/>
              <w:left w:val="nil"/>
              <w:right w:val="nil"/>
            </w:tcBorders>
            <w:shd w:val="clear" w:color="auto" w:fill="auto"/>
            <w:noWrap/>
            <w:vAlign w:val="center"/>
            <w:hideMark/>
          </w:tcPr>
          <w:p w14:paraId="6FC5EC44"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368</w:t>
            </w:r>
          </w:p>
        </w:tc>
      </w:tr>
      <w:tr w:rsidR="005E6D0E" w:rsidRPr="0087391F" w14:paraId="413F3784" w14:textId="77777777" w:rsidTr="0087391F">
        <w:trPr>
          <w:trHeight w:val="300"/>
          <w:jc w:val="center"/>
        </w:trPr>
        <w:tc>
          <w:tcPr>
            <w:tcW w:w="724" w:type="dxa"/>
            <w:tcBorders>
              <w:top w:val="nil"/>
              <w:left w:val="nil"/>
              <w:bottom w:val="nil"/>
              <w:right w:val="nil"/>
            </w:tcBorders>
          </w:tcPr>
          <w:p w14:paraId="5A3BA7FE"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nil"/>
              <w:left w:val="nil"/>
              <w:bottom w:val="nil"/>
              <w:right w:val="nil"/>
            </w:tcBorders>
            <w:shd w:val="clear" w:color="auto" w:fill="auto"/>
            <w:noWrap/>
            <w:vAlign w:val="center"/>
            <w:hideMark/>
          </w:tcPr>
          <w:p w14:paraId="3DA8B09D"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&gt; 40 months</w:t>
            </w:r>
          </w:p>
        </w:tc>
        <w:tc>
          <w:tcPr>
            <w:tcW w:w="1690" w:type="dxa"/>
            <w:tcBorders>
              <w:top w:val="nil"/>
              <w:left w:val="nil"/>
              <w:bottom w:val="nil"/>
              <w:right w:val="nil"/>
            </w:tcBorders>
            <w:shd w:val="clear" w:color="auto" w:fill="auto"/>
            <w:noWrap/>
            <w:vAlign w:val="center"/>
            <w:hideMark/>
          </w:tcPr>
          <w:p w14:paraId="0B8C3BBF" w14:textId="158B496D"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2.05</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3</w:t>
            </w:r>
          </w:p>
        </w:tc>
        <w:tc>
          <w:tcPr>
            <w:tcW w:w="992" w:type="dxa"/>
            <w:tcBorders>
              <w:top w:val="nil"/>
              <w:left w:val="nil"/>
              <w:bottom w:val="nil"/>
              <w:right w:val="nil"/>
            </w:tcBorders>
            <w:shd w:val="clear" w:color="auto" w:fill="auto"/>
            <w:noWrap/>
            <w:vAlign w:val="center"/>
            <w:hideMark/>
          </w:tcPr>
          <w:p w14:paraId="1DDCD785"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7.86</w:t>
            </w:r>
          </w:p>
        </w:tc>
        <w:tc>
          <w:tcPr>
            <w:tcW w:w="1362" w:type="dxa"/>
            <w:tcBorders>
              <w:top w:val="nil"/>
              <w:left w:val="nil"/>
              <w:bottom w:val="nil"/>
              <w:right w:val="nil"/>
            </w:tcBorders>
            <w:shd w:val="clear" w:color="auto" w:fill="auto"/>
            <w:noWrap/>
            <w:vAlign w:val="center"/>
            <w:hideMark/>
          </w:tcPr>
          <w:p w14:paraId="3C44C795" w14:textId="735EDFA1"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2.61</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4</w:t>
            </w:r>
          </w:p>
        </w:tc>
        <w:tc>
          <w:tcPr>
            <w:tcW w:w="862" w:type="dxa"/>
            <w:tcBorders>
              <w:top w:val="nil"/>
              <w:left w:val="nil"/>
              <w:bottom w:val="nil"/>
              <w:right w:val="nil"/>
            </w:tcBorders>
            <w:shd w:val="clear" w:color="auto" w:fill="auto"/>
            <w:noWrap/>
            <w:vAlign w:val="center"/>
            <w:hideMark/>
          </w:tcPr>
          <w:p w14:paraId="35A976CC" w14:textId="77777777" w:rsidR="005E6D0E" w:rsidRPr="0087391F" w:rsidRDefault="005E6D0E" w:rsidP="00CD0823">
            <w:pPr>
              <w:keepNext/>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240</w:t>
            </w:r>
          </w:p>
        </w:tc>
      </w:tr>
      <w:tr w:rsidR="005E6D0E" w:rsidRPr="0087391F" w14:paraId="7F631041" w14:textId="77777777" w:rsidTr="0087391F">
        <w:trPr>
          <w:trHeight w:val="300"/>
          <w:jc w:val="center"/>
        </w:trPr>
        <w:tc>
          <w:tcPr>
            <w:tcW w:w="724" w:type="dxa"/>
            <w:tcBorders>
              <w:top w:val="nil"/>
              <w:left w:val="nil"/>
              <w:bottom w:val="nil"/>
              <w:right w:val="nil"/>
            </w:tcBorders>
          </w:tcPr>
          <w:p w14:paraId="3141A0C4"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nil"/>
              <w:left w:val="nil"/>
              <w:bottom w:val="nil"/>
              <w:right w:val="nil"/>
            </w:tcBorders>
            <w:shd w:val="clear" w:color="auto" w:fill="auto"/>
            <w:noWrap/>
            <w:vAlign w:val="center"/>
          </w:tcPr>
          <w:p w14:paraId="3DC14290"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690" w:type="dxa"/>
            <w:tcBorders>
              <w:top w:val="nil"/>
              <w:left w:val="nil"/>
              <w:bottom w:val="nil"/>
              <w:right w:val="nil"/>
            </w:tcBorders>
            <w:shd w:val="clear" w:color="auto" w:fill="auto"/>
            <w:noWrap/>
            <w:vAlign w:val="center"/>
          </w:tcPr>
          <w:p w14:paraId="3A237377"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992" w:type="dxa"/>
            <w:tcBorders>
              <w:top w:val="nil"/>
              <w:left w:val="nil"/>
              <w:bottom w:val="nil"/>
              <w:right w:val="nil"/>
            </w:tcBorders>
            <w:shd w:val="clear" w:color="auto" w:fill="auto"/>
            <w:noWrap/>
            <w:vAlign w:val="center"/>
          </w:tcPr>
          <w:p w14:paraId="7D117E4F"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362" w:type="dxa"/>
            <w:tcBorders>
              <w:top w:val="nil"/>
              <w:left w:val="nil"/>
              <w:bottom w:val="nil"/>
              <w:right w:val="nil"/>
            </w:tcBorders>
            <w:shd w:val="clear" w:color="auto" w:fill="auto"/>
            <w:noWrap/>
            <w:vAlign w:val="center"/>
          </w:tcPr>
          <w:p w14:paraId="232793FD"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862" w:type="dxa"/>
            <w:tcBorders>
              <w:top w:val="nil"/>
              <w:left w:val="nil"/>
              <w:bottom w:val="nil"/>
              <w:right w:val="nil"/>
            </w:tcBorders>
            <w:shd w:val="clear" w:color="auto" w:fill="auto"/>
            <w:noWrap/>
            <w:vAlign w:val="center"/>
          </w:tcPr>
          <w:p w14:paraId="40650AFB" w14:textId="77777777" w:rsidR="005E6D0E" w:rsidRPr="0087391F" w:rsidRDefault="005E6D0E" w:rsidP="00CD0823">
            <w:pPr>
              <w:keepNext/>
              <w:spacing w:after="0" w:line="240" w:lineRule="auto"/>
              <w:rPr>
                <w:rFonts w:ascii="Calibri" w:eastAsia="Times New Roman" w:hAnsi="Calibri" w:cs="Times New Roman"/>
                <w:color w:val="000000"/>
                <w:sz w:val="24"/>
                <w:lang w:eastAsia="en-GB"/>
              </w:rPr>
            </w:pPr>
          </w:p>
        </w:tc>
      </w:tr>
      <w:tr w:rsidR="005E6D0E" w:rsidRPr="0087391F" w14:paraId="55064FCD" w14:textId="77777777" w:rsidTr="0087391F">
        <w:trPr>
          <w:trHeight w:val="300"/>
          <w:jc w:val="center"/>
        </w:trPr>
        <w:tc>
          <w:tcPr>
            <w:tcW w:w="724" w:type="dxa"/>
            <w:tcBorders>
              <w:top w:val="nil"/>
              <w:left w:val="nil"/>
              <w:bottom w:val="nil"/>
              <w:right w:val="nil"/>
            </w:tcBorders>
          </w:tcPr>
          <w:p w14:paraId="16737BFC"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w:t>
            </w:r>
          </w:p>
        </w:tc>
        <w:tc>
          <w:tcPr>
            <w:tcW w:w="1701" w:type="dxa"/>
            <w:tcBorders>
              <w:top w:val="nil"/>
              <w:left w:val="nil"/>
              <w:bottom w:val="nil"/>
              <w:right w:val="nil"/>
            </w:tcBorders>
            <w:shd w:val="clear" w:color="auto" w:fill="auto"/>
            <w:noWrap/>
            <w:vAlign w:val="center"/>
          </w:tcPr>
          <w:p w14:paraId="67683B73"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&lt; 2 months</w:t>
            </w:r>
          </w:p>
        </w:tc>
        <w:tc>
          <w:tcPr>
            <w:tcW w:w="1690" w:type="dxa"/>
            <w:tcBorders>
              <w:top w:val="nil"/>
              <w:left w:val="nil"/>
              <w:bottom w:val="nil"/>
              <w:right w:val="nil"/>
            </w:tcBorders>
            <w:shd w:val="clear" w:color="auto" w:fill="auto"/>
            <w:noWrap/>
            <w:vAlign w:val="center"/>
          </w:tcPr>
          <w:p w14:paraId="24BDA0DE" w14:textId="7C5B96BE"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2.37</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3</w:t>
            </w:r>
          </w:p>
        </w:tc>
        <w:tc>
          <w:tcPr>
            <w:tcW w:w="992" w:type="dxa"/>
            <w:tcBorders>
              <w:top w:val="nil"/>
              <w:left w:val="nil"/>
              <w:bottom w:val="nil"/>
              <w:right w:val="nil"/>
            </w:tcBorders>
            <w:shd w:val="clear" w:color="auto" w:fill="auto"/>
            <w:noWrap/>
            <w:vAlign w:val="center"/>
          </w:tcPr>
          <w:p w14:paraId="19D12251"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8.17</w:t>
            </w:r>
          </w:p>
        </w:tc>
        <w:tc>
          <w:tcPr>
            <w:tcW w:w="1362" w:type="dxa"/>
            <w:tcBorders>
              <w:top w:val="nil"/>
              <w:left w:val="nil"/>
              <w:bottom w:val="nil"/>
              <w:right w:val="nil"/>
            </w:tcBorders>
            <w:shd w:val="clear" w:color="auto" w:fill="auto"/>
            <w:noWrap/>
            <w:vAlign w:val="center"/>
          </w:tcPr>
          <w:p w14:paraId="071E43B6" w14:textId="142022BE"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2.90</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4</w:t>
            </w:r>
          </w:p>
        </w:tc>
        <w:tc>
          <w:tcPr>
            <w:tcW w:w="862" w:type="dxa"/>
            <w:tcBorders>
              <w:top w:val="nil"/>
              <w:left w:val="nil"/>
              <w:bottom w:val="nil"/>
              <w:right w:val="nil"/>
            </w:tcBorders>
            <w:shd w:val="clear" w:color="auto" w:fill="auto"/>
            <w:noWrap/>
            <w:vAlign w:val="center"/>
          </w:tcPr>
          <w:p w14:paraId="2F185F21"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310</w:t>
            </w:r>
          </w:p>
        </w:tc>
      </w:tr>
      <w:tr w:rsidR="005E6D0E" w:rsidRPr="0087391F" w14:paraId="754D14FB" w14:textId="77777777" w:rsidTr="0087391F">
        <w:trPr>
          <w:trHeight w:val="300"/>
          <w:jc w:val="center"/>
        </w:trPr>
        <w:tc>
          <w:tcPr>
            <w:tcW w:w="724" w:type="dxa"/>
            <w:tcBorders>
              <w:top w:val="nil"/>
              <w:left w:val="nil"/>
              <w:bottom w:val="single" w:sz="4" w:space="0" w:color="auto"/>
              <w:right w:val="nil"/>
            </w:tcBorders>
          </w:tcPr>
          <w:p w14:paraId="6E304B01" w14:textId="77777777" w:rsidR="005E6D0E" w:rsidRPr="0087391F" w:rsidRDefault="005E6D0E" w:rsidP="00CD0823">
            <w:pPr>
              <w:spacing w:after="0" w:line="240" w:lineRule="auto"/>
              <w:rPr>
                <w:rFonts w:ascii="Calibri" w:eastAsia="Times New Roman" w:hAnsi="Calibri" w:cs="Times New Roman"/>
                <w:color w:val="000000"/>
                <w:sz w:val="24"/>
                <w:lang w:eastAsia="en-GB"/>
              </w:rPr>
            </w:pPr>
          </w:p>
        </w:tc>
        <w:tc>
          <w:tcPr>
            <w:tcW w:w="1701" w:type="dxa"/>
            <w:tcBorders>
              <w:top w:val="nil"/>
              <w:left w:val="nil"/>
              <w:bottom w:val="single" w:sz="4" w:space="0" w:color="auto"/>
              <w:right w:val="nil"/>
            </w:tcBorders>
            <w:shd w:val="clear" w:color="auto" w:fill="auto"/>
            <w:noWrap/>
            <w:vAlign w:val="center"/>
          </w:tcPr>
          <w:p w14:paraId="4DBA55E8"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&gt; 2 months</w:t>
            </w:r>
          </w:p>
        </w:tc>
        <w:tc>
          <w:tcPr>
            <w:tcW w:w="1690" w:type="dxa"/>
            <w:tcBorders>
              <w:top w:val="nil"/>
              <w:left w:val="nil"/>
              <w:bottom w:val="single" w:sz="4" w:space="0" w:color="auto"/>
              <w:right w:val="nil"/>
            </w:tcBorders>
            <w:shd w:val="clear" w:color="auto" w:fill="auto"/>
            <w:noWrap/>
            <w:vAlign w:val="center"/>
          </w:tcPr>
          <w:p w14:paraId="007E7862" w14:textId="4BE5E7B3"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2.27</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sidRP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3</w:t>
            </w:r>
          </w:p>
        </w:tc>
        <w:tc>
          <w:tcPr>
            <w:tcW w:w="992" w:type="dxa"/>
            <w:tcBorders>
              <w:top w:val="nil"/>
              <w:left w:val="nil"/>
              <w:bottom w:val="single" w:sz="4" w:space="0" w:color="auto"/>
              <w:right w:val="nil"/>
            </w:tcBorders>
            <w:shd w:val="clear" w:color="auto" w:fill="auto"/>
            <w:noWrap/>
            <w:vAlign w:val="center"/>
          </w:tcPr>
          <w:p w14:paraId="0EDCE594"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17.9</w:t>
            </w:r>
          </w:p>
        </w:tc>
        <w:tc>
          <w:tcPr>
            <w:tcW w:w="1362" w:type="dxa"/>
            <w:tcBorders>
              <w:top w:val="nil"/>
              <w:left w:val="nil"/>
              <w:bottom w:val="single" w:sz="4" w:space="0" w:color="auto"/>
              <w:right w:val="nil"/>
            </w:tcBorders>
            <w:shd w:val="clear" w:color="auto" w:fill="auto"/>
            <w:noWrap/>
            <w:vAlign w:val="center"/>
          </w:tcPr>
          <w:p w14:paraId="4B60050E" w14:textId="0275F8CA"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1.27</w:t>
            </w:r>
            <w:r w:rsidR="0087391F" w:rsidRPr="0087391F">
              <w:rPr>
                <w:rFonts w:ascii="Calibri" w:eastAsia="Times New Roman" w:hAnsi="Calibri" w:cs="Times New Roman"/>
                <w:color w:val="000000"/>
                <w:sz w:val="24"/>
                <w:lang w:eastAsia="en-GB"/>
              </w:rPr>
              <w:t xml:space="preserve"> </w:t>
            </w:r>
            <w:r w:rsidR="0087391F" w:rsidRPr="0087391F">
              <w:rPr>
                <w:rFonts w:ascii="Calibri" w:eastAsia="Times New Roman" w:hAnsi="Calibri" w:cs="Times New Roman"/>
                <w:color w:val="000000"/>
                <w:sz w:val="24"/>
                <w:lang w:eastAsia="en-GB"/>
              </w:rPr>
              <w:t>x10</w:t>
            </w:r>
            <w:r w:rsidR="0087391F">
              <w:rPr>
                <w:rFonts w:ascii="Calibri" w:eastAsia="Times New Roman" w:hAnsi="Calibri" w:cs="Times New Roman"/>
                <w:color w:val="000000"/>
                <w:sz w:val="24"/>
                <w:vertAlign w:val="superscript"/>
                <w:lang w:eastAsia="en-GB"/>
              </w:rPr>
              <w:t>-</w:t>
            </w:r>
            <w:r w:rsidR="0087391F" w:rsidRPr="0087391F">
              <w:rPr>
                <w:rFonts w:ascii="Calibri" w:eastAsia="Times New Roman" w:hAnsi="Calibri" w:cs="Times New Roman"/>
                <w:color w:val="000000"/>
                <w:sz w:val="24"/>
                <w:vertAlign w:val="superscript"/>
                <w:lang w:eastAsia="en-GB"/>
              </w:rPr>
              <w:t>4</w:t>
            </w:r>
          </w:p>
        </w:tc>
        <w:tc>
          <w:tcPr>
            <w:tcW w:w="862" w:type="dxa"/>
            <w:tcBorders>
              <w:top w:val="nil"/>
              <w:left w:val="nil"/>
              <w:bottom w:val="single" w:sz="4" w:space="0" w:color="auto"/>
              <w:right w:val="nil"/>
            </w:tcBorders>
            <w:shd w:val="clear" w:color="auto" w:fill="auto"/>
            <w:noWrap/>
            <w:vAlign w:val="center"/>
          </w:tcPr>
          <w:p w14:paraId="3DAEC875" w14:textId="77777777" w:rsidR="005E6D0E" w:rsidRPr="0087391F" w:rsidRDefault="005E6D0E" w:rsidP="00CD0823">
            <w:pPr>
              <w:spacing w:after="0" w:line="240" w:lineRule="auto"/>
              <w:rPr>
                <w:rFonts w:ascii="Calibri" w:eastAsia="Times New Roman" w:hAnsi="Calibri" w:cs="Times New Roman"/>
                <w:color w:val="000000"/>
                <w:sz w:val="24"/>
                <w:lang w:eastAsia="en-GB"/>
              </w:rPr>
            </w:pPr>
            <w:r w:rsidRPr="0087391F">
              <w:rPr>
                <w:rFonts w:ascii="Calibri" w:eastAsia="Times New Roman" w:hAnsi="Calibri" w:cs="Times New Roman"/>
                <w:color w:val="000000"/>
                <w:sz w:val="24"/>
                <w:lang w:eastAsia="en-GB"/>
              </w:rPr>
              <w:t>1018</w:t>
            </w:r>
          </w:p>
        </w:tc>
      </w:tr>
    </w:tbl>
    <w:p w14:paraId="292AD147" w14:textId="77777777" w:rsidR="005E6D0E" w:rsidRDefault="005E6D0E" w:rsidP="005E6D0E">
      <w:pPr>
        <w:pStyle w:val="Caption"/>
        <w:rPr>
          <w:b w:val="0"/>
        </w:rPr>
      </w:pPr>
    </w:p>
    <w:p w14:paraId="4B9FAC1D" w14:textId="77777777" w:rsidR="005E6D0E" w:rsidRDefault="005E6D0E" w:rsidP="005E6D0E">
      <w:pPr>
        <w:pStyle w:val="Caption"/>
      </w:pPr>
    </w:p>
    <w:p w14:paraId="479A9EF0" w14:textId="77777777" w:rsidR="005E6D0E" w:rsidRDefault="005E6D0E" w:rsidP="005E6D0E">
      <w:r>
        <w:t xml:space="preserve">Differences in the residual variance between considered age groups were not statistically significant (p=0.246 and p= 0.721 for four and two age groups, respectively). Models with homogeneous and heterogeneous variance structures were also compared based on their AIC values. The difference between a homogeneous variance structure and two variance groups was not statistically significant (delta AIC = 1.89), while the homogeneous variance structure was a better fit than four variance groups (delta AIC= 2.09). Therefore, a homogeneous variance structure was assumed in all following models. </w:t>
      </w:r>
    </w:p>
    <w:p w14:paraId="11D04531" w14:textId="77777777" w:rsidR="005E6D0E" w:rsidRDefault="005E6D0E" w:rsidP="005E6D0E">
      <w:pPr>
        <w:pStyle w:val="Heading3"/>
        <w:numPr>
          <w:ilvl w:val="2"/>
          <w:numId w:val="1"/>
        </w:numPr>
        <w:spacing w:line="480" w:lineRule="auto"/>
        <w:jc w:val="both"/>
      </w:pPr>
      <w:bookmarkStart w:id="5" w:name="_Toc494238626"/>
      <w:r>
        <w:t>Calculation of genetic parameters</w:t>
      </w:r>
      <w:bookmarkEnd w:id="5"/>
    </w:p>
    <w:p w14:paraId="7DFB20C5" w14:textId="77777777" w:rsidR="005E6D0E" w:rsidRPr="00FF2B8B" w:rsidRDefault="005E6D0E" w:rsidP="005E6D0E">
      <w:r w:rsidRPr="00FF2B8B">
        <w:t>The phenotypic variance (V</w:t>
      </w:r>
      <w:r w:rsidRPr="00FF2B8B">
        <w:rPr>
          <w:vertAlign w:val="subscript"/>
        </w:rPr>
        <w:t>P</w:t>
      </w:r>
      <w:r w:rsidRPr="00FF2B8B">
        <w:t>) for each month equalled V</w:t>
      </w:r>
      <w:r w:rsidRPr="00FF2B8B">
        <w:rPr>
          <w:vertAlign w:val="subscript"/>
        </w:rPr>
        <w:t xml:space="preserve">A </w:t>
      </w:r>
      <w:r w:rsidRPr="00FF2B8B">
        <w:t>+ V</w:t>
      </w:r>
      <w:r w:rsidRPr="00FF2B8B">
        <w:rPr>
          <w:vertAlign w:val="subscript"/>
        </w:rPr>
        <w:t>E</w:t>
      </w:r>
      <w:r w:rsidRPr="00FF2B8B">
        <w:t>, where V</w:t>
      </w:r>
      <w:r w:rsidRPr="00FF2B8B">
        <w:rPr>
          <w:vertAlign w:val="subscript"/>
        </w:rPr>
        <w:t>E</w:t>
      </w:r>
      <w:r w:rsidRPr="00FF2B8B">
        <w:t xml:space="preserve"> = </w:t>
      </w:r>
      <w:r>
        <w:t>environmental variance and V</w:t>
      </w:r>
      <w:r w:rsidRPr="00AD573D">
        <w:rPr>
          <w:vertAlign w:val="subscript"/>
        </w:rPr>
        <w:t>A</w:t>
      </w:r>
      <w:r>
        <w:t>=additive genetic variance</w:t>
      </w:r>
      <w:r w:rsidRPr="00FF2B8B">
        <w:t>.   The heritability (h</w:t>
      </w:r>
      <w:r w:rsidRPr="00FF2B8B">
        <w:rPr>
          <w:vertAlign w:val="superscript"/>
        </w:rPr>
        <w:t>2</w:t>
      </w:r>
      <w:r w:rsidRPr="00FF2B8B">
        <w:t xml:space="preserve">) was calculated for each month as follows </w:t>
      </w:r>
      <w:r w:rsidRPr="00FF2B8B">
        <w:fldChar w:fldCharType="begin" w:fldLock="1"/>
      </w:r>
      <w:r>
        <w:instrText>ADDIN CSL_CITATION { "citationItems" : [ { "id" : "ITEM-1", "itemData" : { "author" : [ { "dropping-particle" : "", "family" : "Falconer", "given" : "Douglas S.", "non-dropping-particle" : "", "parse-names" : false, "suffix" : "" }, { "dropping-particle" : "", "family" : "Mackay", "given" : "Trudy F.C.North Carolina State University", "non-dropping-particle" : "", "parse-names" : false, "suffix" : "" } ], "edition" : "4th Editio", "id" : "ITEM-1", "issued" : { "date-parts" : [ [ "1996" ] ] }, "publisher" : "Pearson", "title" : "Introduction to Quantitative Genetics", "type" : "book" }, "uris" : [ "http://www.mendeley.com/documents/?uuid=3eb639bb-8a67-4d64-8ee2-91f2141a00b4" ] } ], "mendeley" : { "formattedCitation" : "(Falconer &amp; Mackay 1996)", "plainTextFormattedCitation" : "(Falconer &amp; Mackay 1996)", "previouslyFormattedCitation" : "(Falconer &amp; Mackay 1996)" }, "properties" : { "noteIndex" : 0 }, "schema" : "https://github.com/citation-style-language/schema/raw/master/csl-citation.json" }</w:instrText>
      </w:r>
      <w:r w:rsidRPr="00FF2B8B">
        <w:fldChar w:fldCharType="separate"/>
      </w:r>
      <w:r w:rsidRPr="00F556AF">
        <w:rPr>
          <w:noProof/>
        </w:rPr>
        <w:t>(Falconer &amp; Mackay 1996)</w:t>
      </w:r>
      <w:r w:rsidRPr="00FF2B8B">
        <w:fldChar w:fldCharType="end"/>
      </w:r>
      <w:r w:rsidRPr="00FF2B8B">
        <w:t>:</w:t>
      </w:r>
    </w:p>
    <w:p w14:paraId="262519B5" w14:textId="77777777" w:rsidR="005E6D0E" w:rsidRPr="00FF2B8B" w:rsidRDefault="00F90D16" w:rsidP="005E6D0E">
      <w:pPr>
        <w:jc w:val="center"/>
        <w:rPr>
          <w:rFonts w:eastAsiaTheme="minorEastAsia"/>
        </w:rPr>
      </w:pP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oMath>
      <w:r w:rsidR="005E6D0E" w:rsidRPr="00FF2B8B">
        <w:rPr>
          <w:rFonts w:eastAsiaTheme="minorEastAsia"/>
        </w:rPr>
        <w:tab/>
        <w:t>(</w:t>
      </w:r>
      <w:r w:rsidR="005E6D0E">
        <w:rPr>
          <w:rFonts w:eastAsiaTheme="minorEastAsia"/>
        </w:rPr>
        <w:t>S 1</w:t>
      </w:r>
      <w:r w:rsidR="005E6D0E" w:rsidRPr="00FF2B8B">
        <w:rPr>
          <w:rFonts w:eastAsiaTheme="minorEastAsia"/>
        </w:rPr>
        <w:t>)</w:t>
      </w:r>
    </w:p>
    <w:p w14:paraId="7857FD0E" w14:textId="77777777" w:rsidR="005E6D0E" w:rsidRPr="00FF2B8B" w:rsidRDefault="005E6D0E" w:rsidP="005E6D0E">
      <w:r w:rsidRPr="00FF2B8B">
        <w:t xml:space="preserve">The standard error (SE) </w:t>
      </w:r>
      <w:r>
        <w:t>of h</w:t>
      </w:r>
      <w:r w:rsidRPr="0086482C">
        <w:rPr>
          <w:vertAlign w:val="superscript"/>
        </w:rPr>
        <w:t>2</w:t>
      </w:r>
      <w:r w:rsidRPr="00FF2B8B">
        <w:t xml:space="preserve"> was calculated using following formula </w:t>
      </w:r>
      <w:r w:rsidRPr="00FF2B8B">
        <w:fldChar w:fldCharType="begin" w:fldLock="1"/>
      </w:r>
      <w:r>
        <w:instrText>ADDIN CSL_CITATION { "citationItems" : [ { "id" : "ITEM-1", "itemData" : { "author" : [ { "dropping-particle" : "", "family" : "Gilmour", "given" : "A.R.", "non-dropping-particle" : "", "parse-names" : false, "suffix" : "" }, { "dropping-particle" : "", "family" : "Gogel", "given" : "B.J.", "non-dropping-particle" : "", "parse-names" : false, "suffix" : "" }, { "dropping-particle" : "", "family" : "Cullis", "given" : "B.R.", "non-dropping-particle" : "", "parse-names" : false, "suffix" : "" }, { "dropping-particle" : "", "family" : "Thompson", "given" : "R.", "non-dropping-particle" : "", "parse-names" : false, "suffix" : "" } ], "id" : "ITEM-1", "issued" : { "date-parts" : [ [ "2009" ] ] }, "publisher" : "International Ltd, Hemel", "publisher-place" : "Hempstead, HP1 1ES, UK", "title" : "ASReml User Guide Release 3.0 VSN", "type" : "article" }, "uris" : [ "http://www.mendeley.com/documents/?uuid=16ca70c6-154e-47c1-84c3-ecc5801b006c" ] } ], "mendeley" : { "formattedCitation" : "(Gilmour et al. 2009)", "plainTextFormattedCitation" : "(Gilmour et al. 2009)", "previouslyFormattedCitation" : "(Gilmour et al. 2009)" }, "properties" : { "noteIndex" : 0 }, "schema" : "https://github.com/citation-style-language/schema/raw/master/csl-citation.json" }</w:instrText>
      </w:r>
      <w:r w:rsidRPr="00FF2B8B">
        <w:fldChar w:fldCharType="separate"/>
      </w:r>
      <w:r w:rsidRPr="00F556AF">
        <w:rPr>
          <w:noProof/>
        </w:rPr>
        <w:t>(Gilmour et al. 2009)</w:t>
      </w:r>
      <w:r w:rsidRPr="00FF2B8B">
        <w:fldChar w:fldCharType="end"/>
      </w:r>
      <w:r w:rsidRPr="00FF2B8B">
        <w:t>:</w:t>
      </w:r>
    </w:p>
    <w:p w14:paraId="62940D27" w14:textId="77777777" w:rsidR="005E6D0E" w:rsidRPr="00FF2B8B" w:rsidRDefault="005E6D0E" w:rsidP="005E6D0E">
      <w:pPr>
        <w:jc w:val="center"/>
        <w:rPr>
          <w:rFonts w:eastAsiaTheme="minorEastAsia"/>
        </w:rPr>
      </w:pPr>
      <m:oMath>
        <m:r>
          <w:rPr>
            <w:rFonts w:ascii="Cambria Math" w:eastAsiaTheme="minorEastAsia" w:hAnsi="Cambria Math"/>
          </w:rPr>
          <m:t xml:space="preserve">SE= </m:t>
        </m:r>
        <m:rad>
          <m:radPr>
            <m:degHide m:val="1"/>
            <m:ctrlPr>
              <w:rPr>
                <w:rFonts w:ascii="Cambria Math" w:eastAsiaTheme="minorEastAsia" w:hAnsi="Cambria Math"/>
                <w:i/>
              </w:rPr>
            </m:ctrlPr>
          </m:radPr>
          <m:deg/>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var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e>
                </m:d>
              </m:num>
              <m:den>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A</m:t>
                    </m:r>
                  </m:sub>
                  <m:sup>
                    <m:r>
                      <w:rPr>
                        <w:rFonts w:ascii="Cambria Math" w:eastAsiaTheme="minorEastAsia" w:hAnsi="Cambria Math"/>
                      </w:rPr>
                      <m:t>2</m:t>
                    </m:r>
                  </m:sup>
                </m:sSubSup>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var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e>
                </m:d>
              </m:num>
              <m:den>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P</m:t>
                    </m:r>
                  </m:sub>
                  <m:sup>
                    <m:r>
                      <w:rPr>
                        <w:rFonts w:ascii="Cambria Math" w:eastAsiaTheme="minorEastAsia" w:hAnsi="Cambria Math"/>
                      </w:rPr>
                      <m:t>2</m:t>
                    </m:r>
                  </m:sup>
                </m:sSubSup>
              </m:den>
            </m:f>
            <m:r>
              <w:rPr>
                <w:rFonts w:ascii="Cambria Math" w:eastAsiaTheme="minorEastAsia" w:hAnsi="Cambria Math"/>
              </w:rPr>
              <m:t xml:space="preserve">-2* </m:t>
            </m:r>
            <m:f>
              <m:fPr>
                <m:ctrlPr>
                  <w:rPr>
                    <w:rFonts w:ascii="Cambria Math" w:eastAsiaTheme="minorEastAsia" w:hAnsi="Cambria Math"/>
                    <w:i/>
                  </w:rPr>
                </m:ctrlPr>
              </m:fPr>
              <m:num>
                <m:r>
                  <w:rPr>
                    <w:rFonts w:ascii="Cambria Math" w:eastAsiaTheme="minorEastAsia" w:hAnsi="Cambria Math"/>
                  </w:rPr>
                  <m:t>cov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e>
                </m:d>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den>
            </m:f>
            <m:r>
              <w:rPr>
                <w:rFonts w:ascii="Cambria Math" w:eastAsiaTheme="minorEastAsia" w:hAnsi="Cambria Math"/>
              </w:rPr>
              <m:t>)</m:t>
            </m:r>
          </m:e>
        </m:rad>
      </m:oMath>
      <w:r w:rsidRPr="00FF2B8B">
        <w:rPr>
          <w:rFonts w:eastAsiaTheme="minorEastAsia"/>
        </w:rPr>
        <w:tab/>
        <w:t xml:space="preserve"> (</w:t>
      </w:r>
      <w:r>
        <w:rPr>
          <w:rFonts w:eastAsiaTheme="minorEastAsia"/>
        </w:rPr>
        <w:t>S 2</w:t>
      </w:r>
      <w:r w:rsidRPr="00FF2B8B">
        <w:rPr>
          <w:rFonts w:eastAsiaTheme="minorEastAsia"/>
        </w:rPr>
        <w:t>)</w:t>
      </w:r>
    </w:p>
    <w:p w14:paraId="64C96FCD" w14:textId="77777777" w:rsidR="005E6D0E" w:rsidRPr="00FF2B8B" w:rsidRDefault="005E6D0E" w:rsidP="005E6D0E">
      <w:r w:rsidRPr="00FF2B8B">
        <w:t xml:space="preserve">Genetic </w:t>
      </w:r>
      <w:proofErr w:type="spellStart"/>
      <w:r w:rsidRPr="00FF2B8B">
        <w:t>covariances</w:t>
      </w:r>
      <w:proofErr w:type="spellEnd"/>
      <w:r w:rsidRPr="00FF2B8B">
        <w:t xml:space="preserve"> between different age</w:t>
      </w:r>
      <w:r>
        <w:t>s in months</w:t>
      </w:r>
      <w:r w:rsidRPr="00FF2B8B">
        <w:t xml:space="preserve"> w</w:t>
      </w:r>
      <w:r>
        <w:t>ere calculated using equation (3</w:t>
      </w:r>
      <w:r w:rsidRPr="00FF2B8B">
        <w:t xml:space="preserve">) </w:t>
      </w:r>
      <w:r>
        <w:t>in the manuscript</w:t>
      </w:r>
      <w:r w:rsidRPr="00FF2B8B">
        <w:t xml:space="preserve"> except that </w:t>
      </w:r>
      <m:oMath>
        <m:r>
          <m:rPr>
            <m:sty m:val="p"/>
          </m:rPr>
          <w:rPr>
            <w:rFonts w:ascii="Cambria Math" w:hAnsi="Cambria Math" w:cs="CMR10"/>
          </w:rPr>
          <m:t>φ</m:t>
        </m:r>
        <m:r>
          <w:rPr>
            <w:rFonts w:ascii="Cambria Math" w:eastAsiaTheme="minorEastAsia" w:hAnsi="Cambria Math"/>
          </w:rPr>
          <m:t>'</m:t>
        </m:r>
      </m:oMath>
      <w:r w:rsidRPr="00FF2B8B">
        <w:rPr>
          <w:rFonts w:eastAsiaTheme="minorEastAsia"/>
        </w:rPr>
        <w:t xml:space="preserve"> denoted the transpose vector including the residuals for each polynomial order for a different month than </w:t>
      </w:r>
      <m:oMath>
        <m:r>
          <m:rPr>
            <m:sty m:val="p"/>
          </m:rPr>
          <w:rPr>
            <w:rFonts w:ascii="Cambria Math" w:hAnsi="Cambria Math" w:cs="CMR10"/>
          </w:rPr>
          <m:t>φ</m:t>
        </m:r>
      </m:oMath>
      <w:r w:rsidRPr="00FF2B8B">
        <w:rPr>
          <w:rFonts w:eastAsiaTheme="minorEastAsia"/>
        </w:rPr>
        <w:t>.</w:t>
      </w:r>
      <w:r w:rsidRPr="00FF2B8B">
        <w:t xml:space="preserve"> The genetic correlations between RLTL in different months were then calculated using following formula </w:t>
      </w:r>
      <w:r w:rsidRPr="00FF2B8B">
        <w:fldChar w:fldCharType="begin" w:fldLock="1"/>
      </w:r>
      <w:r>
        <w:instrText>ADDIN CSL_CITATION { "citationItems" : [ { "id" : "ITEM-1", "itemData" : { "author" : [ { "dropping-particle" : "", "family" : "Falconer", "given" : "Douglas S.", "non-dropping-particle" : "", "parse-names" : false, "suffix" : "" }, { "dropping-particle" : "", "family" : "Mackay", "given" : "Trudy F.C.North Carolina State University", "non-dropping-particle" : "", "parse-names" : false, "suffix" : "" } ], "edition" : "4th Editio", "id" : "ITEM-1", "issued" : { "date-parts" : [ [ "1996" ] ] }, "publisher" : "Pearson", "title" : "Introduction to Quantitative Genetics", "type" : "book" }, "uris" : [ "http://www.mendeley.com/documents/?uuid=3eb639bb-8a67-4d64-8ee2-91f2141a00b4" ] } ], "mendeley" : { "formattedCitation" : "(Falconer &amp; Mackay 1996)", "plainTextFormattedCitation" : "(Falconer &amp; Mackay 1996)", "previouslyFormattedCitation" : "(Falconer &amp; Mackay 1996)" }, "properties" : { "noteIndex" : 0 }, "schema" : "https://github.com/citation-style-language/schema/raw/master/csl-citation.json" }</w:instrText>
      </w:r>
      <w:r w:rsidRPr="00FF2B8B">
        <w:fldChar w:fldCharType="separate"/>
      </w:r>
      <w:r w:rsidRPr="00F556AF">
        <w:rPr>
          <w:noProof/>
        </w:rPr>
        <w:t>(Falconer &amp; Mackay 1996)</w:t>
      </w:r>
      <w:r w:rsidRPr="00FF2B8B">
        <w:fldChar w:fldCharType="end"/>
      </w:r>
      <w:r w:rsidRPr="00FF2B8B">
        <w:t>:</w:t>
      </w:r>
    </w:p>
    <w:p w14:paraId="1ED2F520" w14:textId="77777777" w:rsidR="005E6D0E" w:rsidRPr="00FF2B8B" w:rsidRDefault="00F90D16" w:rsidP="005E6D0E">
      <w:pPr>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cov</m:t>
                </m:r>
              </m:e>
              <m:sub>
                <m:r>
                  <w:rPr>
                    <w:rFonts w:ascii="Cambria Math" w:hAnsi="Cambria Math"/>
                  </w:rPr>
                  <m:t>xy</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var</m:t>
                    </m:r>
                  </m:e>
                  <m:sub>
                    <m:r>
                      <w:rPr>
                        <w:rFonts w:ascii="Cambria Math" w:hAnsi="Cambria Math"/>
                      </w:rPr>
                      <m:t>x</m:t>
                    </m:r>
                  </m:sub>
                </m:sSub>
                <m:sSub>
                  <m:sSubPr>
                    <m:ctrlPr>
                      <w:rPr>
                        <w:rFonts w:ascii="Cambria Math" w:hAnsi="Cambria Math"/>
                        <w:i/>
                      </w:rPr>
                    </m:ctrlPr>
                  </m:sSubPr>
                  <m:e>
                    <m:r>
                      <w:rPr>
                        <w:rFonts w:ascii="Cambria Math" w:hAnsi="Cambria Math"/>
                      </w:rPr>
                      <m:t>var</m:t>
                    </m:r>
                  </m:e>
                  <m:sub>
                    <m:r>
                      <w:rPr>
                        <w:rFonts w:ascii="Cambria Math" w:hAnsi="Cambria Math"/>
                      </w:rPr>
                      <m:t>y</m:t>
                    </m:r>
                  </m:sub>
                </m:sSub>
              </m:e>
            </m:rad>
          </m:den>
        </m:f>
      </m:oMath>
      <w:r w:rsidR="005E6D0E" w:rsidRPr="00FF2B8B">
        <w:rPr>
          <w:rFonts w:eastAsiaTheme="minorEastAsia"/>
        </w:rPr>
        <w:tab/>
        <w:t xml:space="preserve"> (</w:t>
      </w:r>
      <w:r w:rsidR="005E6D0E">
        <w:rPr>
          <w:rFonts w:eastAsiaTheme="minorEastAsia"/>
        </w:rPr>
        <w:t>S 3</w:t>
      </w:r>
      <w:r w:rsidR="005E6D0E" w:rsidRPr="00FF2B8B">
        <w:rPr>
          <w:rFonts w:eastAsiaTheme="minorEastAsia"/>
        </w:rPr>
        <w:t>)</w:t>
      </w:r>
    </w:p>
    <w:p w14:paraId="1E128473" w14:textId="77777777" w:rsidR="005E6D0E" w:rsidRDefault="005E6D0E" w:rsidP="005E6D0E">
      <w:proofErr w:type="gramStart"/>
      <w:r w:rsidRPr="00FF2B8B">
        <w:t>where</w:t>
      </w:r>
      <w:proofErr w:type="gramEnd"/>
      <w:r w:rsidRPr="00FF2B8B">
        <w:t xml:space="preserve"> </w:t>
      </w:r>
      <w:proofErr w:type="spellStart"/>
      <w:r w:rsidRPr="00FF2B8B">
        <w:t>cov</w:t>
      </w:r>
      <w:r w:rsidRPr="004441F8">
        <w:rPr>
          <w:vertAlign w:val="subscript"/>
        </w:rPr>
        <w:t>xy</w:t>
      </w:r>
      <w:proofErr w:type="spellEnd"/>
      <w:r w:rsidRPr="00FF2B8B">
        <w:t xml:space="preserve"> was the genetic covariance between months x and y and </w:t>
      </w:r>
      <w:proofErr w:type="spellStart"/>
      <w:r w:rsidRPr="00FF2B8B">
        <w:t>var</w:t>
      </w:r>
      <w:r w:rsidRPr="004441F8">
        <w:rPr>
          <w:vertAlign w:val="subscript"/>
        </w:rPr>
        <w:t>x</w:t>
      </w:r>
      <w:proofErr w:type="spellEnd"/>
      <w:r w:rsidRPr="00FF2B8B">
        <w:t xml:space="preserve"> and var</w:t>
      </w:r>
      <w:r w:rsidRPr="004441F8">
        <w:rPr>
          <w:vertAlign w:val="subscript"/>
        </w:rPr>
        <w:t>y</w:t>
      </w:r>
      <w:r w:rsidRPr="00FF2B8B">
        <w:t xml:space="preserve"> </w:t>
      </w:r>
      <w:r>
        <w:t xml:space="preserve">were </w:t>
      </w:r>
      <w:r w:rsidRPr="00FF2B8B">
        <w:t>the corresponding genetic variance estimates</w:t>
      </w:r>
      <w:r>
        <w:t>.</w:t>
      </w:r>
    </w:p>
    <w:p w14:paraId="476FEF9E" w14:textId="77777777" w:rsidR="005E6D0E" w:rsidRDefault="005E6D0E" w:rsidP="005E6D0E">
      <w:proofErr w:type="spellStart"/>
      <w:r>
        <w:t>Eigenfunctions</w:t>
      </w:r>
      <w:proofErr w:type="spellEnd"/>
      <w:r>
        <w:t xml:space="preserve"> were calculated by multiplying a matrix containing eigenvectors with a matrix containing Legendre polynomial residuals for each order of the polynomial function and each month. Following formula was used:</w:t>
      </w:r>
    </w:p>
    <w:p w14:paraId="2C4850F3" w14:textId="77777777" w:rsidR="005E6D0E" w:rsidRDefault="00F90D16" w:rsidP="005E6D0E">
      <w:pPr>
        <w:jc w:val="center"/>
      </w:pPr>
      <m:oMath>
        <m:sSub>
          <m:sSubPr>
            <m:ctrlPr>
              <w:rPr>
                <w:rFonts w:ascii="Cambria Math" w:hAnsi="Cambria Math"/>
              </w:rPr>
            </m:ctrlPr>
          </m:sSubPr>
          <m:e>
            <m:r>
              <w:rPr>
                <w:rFonts w:ascii="Cambria Math" w:hAnsi="Cambria Math"/>
              </w:rPr>
              <m:t>ψ</m:t>
            </m:r>
          </m:e>
          <m:sub>
            <m:r>
              <w:rPr>
                <w:rFonts w:ascii="Cambria Math" w:hAnsi="Cambria Math"/>
              </w:rPr>
              <m:t>i</m:t>
            </m:r>
          </m:sub>
        </m:sSub>
        <m:r>
          <w:rPr>
            <w:rFonts w:ascii="Cambria Math" w:eastAsia="Cambria Math" w:hAnsi="Cambria Math" w:cs="Cambria Math"/>
          </w:rPr>
          <m:t>(x)=</m:t>
        </m:r>
        <m:nary>
          <m:naryPr>
            <m:chr m:val="∑"/>
            <m:grow m:val="1"/>
            <m:ctrlPr>
              <w:rPr>
                <w:rFonts w:ascii="Cambria Math" w:hAnsi="Cambria Math"/>
              </w:rPr>
            </m:ctrlPr>
          </m:naryPr>
          <m:sub>
            <m:r>
              <w:rPr>
                <w:rFonts w:ascii="Cambria Math" w:eastAsia="Cambria Math" w:hAnsi="Cambria Math" w:cs="Cambria Math"/>
              </w:rPr>
              <m:t>j=0</m:t>
            </m:r>
          </m:sub>
          <m:sup>
            <m:r>
              <w:rPr>
                <w:rFonts w:ascii="Cambria Math" w:hAnsi="Cambria Math"/>
              </w:rPr>
              <m:t>p-1</m:t>
            </m:r>
          </m:sup>
          <m:e>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ψ</m:t>
                            </m:r>
                          </m:e>
                          <m:sub>
                            <m:r>
                              <w:rPr>
                                <w:rFonts w:ascii="Cambria Math" w:hAnsi="Cambria Math"/>
                              </w:rPr>
                              <m:t>i</m:t>
                            </m:r>
                          </m:sub>
                        </m:sSub>
                      </m:sub>
                    </m:sSub>
                  </m:e>
                </m:d>
              </m:e>
              <m:sub>
                <m:r>
                  <w:rPr>
                    <w:rFonts w:ascii="Cambria Math" w:hAnsi="Cambria Math"/>
                  </w:rPr>
                  <m:t>j</m:t>
                </m:r>
              </m:sub>
            </m:sSub>
            <m:sSub>
              <m:sSubPr>
                <m:ctrlPr>
                  <w:rPr>
                    <w:rFonts w:ascii="Cambria Math" w:hAnsi="Cambria Math"/>
                    <w:i/>
                  </w:rPr>
                </m:ctrlPr>
              </m:sSubPr>
              <m:e>
                <m:r>
                  <m:rPr>
                    <m:sty m:val="p"/>
                  </m:rPr>
                  <w:rPr>
                    <w:rFonts w:ascii="Cambria Math" w:hAnsi="Cambria Math"/>
                  </w:rPr>
                  <m:t>Φ</m:t>
                </m:r>
              </m:e>
              <m:sub>
                <m:r>
                  <w:rPr>
                    <w:rFonts w:ascii="Cambria Math" w:hAnsi="Cambria Math"/>
                  </w:rPr>
                  <m:t>j</m:t>
                </m:r>
              </m:sub>
            </m:sSub>
            <m:r>
              <w:rPr>
                <w:rFonts w:ascii="Cambria Math" w:hAnsi="Cambria Math"/>
              </w:rPr>
              <m:t>(x)</m:t>
            </m:r>
          </m:e>
        </m:nary>
      </m:oMath>
      <w:r w:rsidR="005E6D0E">
        <w:rPr>
          <w:rFonts w:eastAsiaTheme="minorEastAsia"/>
        </w:rPr>
        <w:t xml:space="preserve">   (S4)</w:t>
      </w:r>
    </w:p>
    <w:p w14:paraId="6D5637DE" w14:textId="77777777" w:rsidR="005E6D0E" w:rsidRDefault="005E6D0E" w:rsidP="005E6D0E">
      <w:r>
        <w:t xml:space="preserve">Where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ψ</m:t>
                    </m:r>
                  </m:e>
                  <m:sub>
                    <m:r>
                      <w:rPr>
                        <w:rFonts w:ascii="Cambria Math" w:hAnsi="Cambria Math"/>
                      </w:rPr>
                      <m:t>i</m:t>
                    </m:r>
                  </m:sub>
                </m:sSub>
              </m:sub>
            </m:sSub>
          </m:e>
        </m:d>
      </m:oMath>
      <w:proofErr w:type="gramStart"/>
      <w:r>
        <w:t xml:space="preserve"> is </w:t>
      </w:r>
      <w:proofErr w:type="spellStart"/>
      <w:r>
        <w:t>j</w:t>
      </w:r>
      <w:r w:rsidRPr="0095771E">
        <w:rPr>
          <w:vertAlign w:val="superscript"/>
        </w:rPr>
        <w:t>th</w:t>
      </w:r>
      <w:proofErr w:type="spellEnd"/>
      <w:r>
        <w:t xml:space="preserve"> element of the </w:t>
      </w:r>
      <w:proofErr w:type="spellStart"/>
      <w:r>
        <w:t>i</w:t>
      </w:r>
      <w:r w:rsidRPr="0095771E">
        <w:rPr>
          <w:vertAlign w:val="superscript"/>
        </w:rPr>
        <w:t>th</w:t>
      </w:r>
      <w:proofErr w:type="spellEnd"/>
      <w:r>
        <w:t xml:space="preserve"> eigenvector K</w:t>
      </w:r>
      <w:proofErr w:type="gramEnd"/>
      <w:r>
        <w:t xml:space="preserve">, </w:t>
      </w:r>
      <m:oMath>
        <m:r>
          <m:rPr>
            <m:sty m:val="p"/>
          </m:rPr>
          <w:rPr>
            <w:rFonts w:ascii="Cambria Math" w:hAnsi="Cambria Math"/>
          </w:rPr>
          <m:t>Φ</m:t>
        </m:r>
      </m:oMath>
      <w:r>
        <w:t xml:space="preserve"> is the jth polynomial of the order p and x is the age in months.</w:t>
      </w:r>
    </w:p>
    <w:p w14:paraId="1FAA2554" w14:textId="77777777" w:rsidR="005E6D0E" w:rsidRDefault="005E6D0E" w:rsidP="005E6D0E">
      <w:pPr>
        <w:keepNext/>
      </w:pPr>
      <w:r>
        <w:rPr>
          <w:noProof/>
          <w:lang w:eastAsia="en-GB"/>
        </w:rPr>
        <w:drawing>
          <wp:inline distT="0" distB="0" distL="0" distR="0" wp14:anchorId="08088106" wp14:editId="494A7143">
            <wp:extent cx="3971925" cy="2802526"/>
            <wp:effectExtent l="0" t="0" r="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970167" cy="2801286"/>
                    </a:xfrm>
                    <a:prstGeom prst="rect">
                      <a:avLst/>
                    </a:prstGeom>
                    <a:ln>
                      <a:noFill/>
                    </a:ln>
                    <a:extLst>
                      <a:ext uri="{53640926-AAD7-44D8-BBD7-CCE9431645EC}">
                        <a14:shadowObscured xmlns:a14="http://schemas.microsoft.com/office/drawing/2010/main"/>
                      </a:ext>
                    </a:extLst>
                  </pic:spPr>
                </pic:pic>
              </a:graphicData>
            </a:graphic>
          </wp:inline>
        </w:drawing>
      </w:r>
    </w:p>
    <w:p w14:paraId="5D66CDB9" w14:textId="77777777" w:rsidR="005E6D0E" w:rsidRPr="0034075B" w:rsidRDefault="005E6D0E" w:rsidP="005E6D0E">
      <w:pPr>
        <w:pStyle w:val="Caption"/>
        <w:rPr>
          <w:b w:val="0"/>
        </w:rPr>
      </w:pPr>
      <w:bookmarkStart w:id="6" w:name="_Toc494360116"/>
      <w:r w:rsidRPr="0034075B">
        <w:t>Figure S</w:t>
      </w:r>
      <w:fldSimple w:instr=" SEQ Figure \* ARABIC ">
        <w:r w:rsidR="00FE6FB9">
          <w:rPr>
            <w:noProof/>
          </w:rPr>
          <w:t>1</w:t>
        </w:r>
      </w:fldSimple>
      <w:r w:rsidRPr="0034075B">
        <w:t xml:space="preserve">: </w:t>
      </w:r>
      <w:proofErr w:type="spellStart"/>
      <w:r w:rsidRPr="0034075B">
        <w:t>Eigenfunctions</w:t>
      </w:r>
      <w:proofErr w:type="spellEnd"/>
      <w:r w:rsidRPr="0034075B">
        <w:t xml:space="preserve"> (y-axis, </w:t>
      </w:r>
      <w:proofErr w:type="spellStart"/>
      <w:r w:rsidRPr="0034075B">
        <w:t>unitless</w:t>
      </w:r>
      <w:proofErr w:type="spellEnd"/>
      <w:r w:rsidRPr="0034075B">
        <w:t>) over age in months associated with the</w:t>
      </w:r>
      <w:r>
        <w:t xml:space="preserve"> largest (intercept; solid line</w:t>
      </w:r>
      <w:r w:rsidRPr="0034075B">
        <w:t>), middle (linear; dotted line) and smallest (quadratic; dashed line) eigenvalue.</w:t>
      </w:r>
      <w:bookmarkEnd w:id="6"/>
    </w:p>
    <w:p w14:paraId="4BEF139D" w14:textId="77777777" w:rsidR="005E6D0E" w:rsidRDefault="005E6D0E" w:rsidP="005E6D0E"/>
    <w:p w14:paraId="2DD04CF9" w14:textId="77777777" w:rsidR="005E6D0E" w:rsidRDefault="005E6D0E" w:rsidP="005E6D0E">
      <w:pPr>
        <w:pStyle w:val="Heading3"/>
        <w:numPr>
          <w:ilvl w:val="2"/>
          <w:numId w:val="1"/>
        </w:numPr>
        <w:spacing w:line="480" w:lineRule="auto"/>
        <w:jc w:val="both"/>
      </w:pPr>
      <w:bookmarkStart w:id="7" w:name="_Toc494238627"/>
      <w:r>
        <w:t>Output of the final random regression model</w:t>
      </w:r>
      <w:bookmarkEnd w:id="7"/>
    </w:p>
    <w:p w14:paraId="750E0736" w14:textId="77777777" w:rsidR="0087391F" w:rsidRDefault="0087391F" w:rsidP="0087391F">
      <w:pPr>
        <w:pStyle w:val="Caption"/>
      </w:pPr>
      <w:bookmarkStart w:id="8" w:name="_Toc494238480"/>
    </w:p>
    <w:p w14:paraId="36F5215F" w14:textId="1A1CCD27" w:rsidR="0087391F" w:rsidRDefault="0087391F" w:rsidP="0087391F">
      <w:pPr>
        <w:pStyle w:val="Caption"/>
        <w:rPr>
          <w:b w:val="0"/>
        </w:rPr>
      </w:pPr>
      <w:r w:rsidRPr="0034075B">
        <w:t xml:space="preserve">Table </w:t>
      </w:r>
      <w:r>
        <w:t>S5</w:t>
      </w:r>
      <w:bookmarkStart w:id="9" w:name="_GoBack"/>
      <w:bookmarkEnd w:id="9"/>
      <w:r w:rsidRPr="0034075B">
        <w:t xml:space="preserve">: Significance of fixed effects in the final random regression model. A quadratic Legendre polynomial was fitted to age in months. * Significant at </w:t>
      </w:r>
      <w:r>
        <w:t>p=0.05, ** significant at p</w:t>
      </w:r>
      <w:r w:rsidRPr="0034075B">
        <w:t xml:space="preserve"> = 0.01, *** significant at </w:t>
      </w:r>
      <w:r>
        <w:t>p</w:t>
      </w:r>
      <w:r w:rsidRPr="0034075B">
        <w:t>= 0.001.</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29"/>
        <w:gridCol w:w="1540"/>
        <w:gridCol w:w="733"/>
      </w:tblGrid>
      <w:tr w:rsidR="005E6D0E" w14:paraId="687317A0" w14:textId="77777777" w:rsidTr="00CD0823">
        <w:trPr>
          <w:jc w:val="center"/>
        </w:trPr>
        <w:tc>
          <w:tcPr>
            <w:tcW w:w="1951" w:type="dxa"/>
            <w:tcBorders>
              <w:top w:val="double" w:sz="4" w:space="0" w:color="auto"/>
              <w:bottom w:val="single" w:sz="4" w:space="0" w:color="auto"/>
            </w:tcBorders>
          </w:tcPr>
          <w:p w14:paraId="5E417C50" w14:textId="77777777" w:rsidR="005E6D0E" w:rsidRDefault="005E6D0E" w:rsidP="00CD0823">
            <w:r>
              <w:t xml:space="preserve">Source of variation           </w:t>
            </w:r>
          </w:p>
        </w:tc>
        <w:tc>
          <w:tcPr>
            <w:tcW w:w="1129" w:type="dxa"/>
            <w:tcBorders>
              <w:top w:val="double" w:sz="4" w:space="0" w:color="auto"/>
              <w:bottom w:val="single" w:sz="4" w:space="0" w:color="auto"/>
            </w:tcBorders>
          </w:tcPr>
          <w:p w14:paraId="114AF0C4" w14:textId="77777777" w:rsidR="005E6D0E" w:rsidRDefault="005E6D0E" w:rsidP="00CD0823">
            <w:r>
              <w:t>F statistic</w:t>
            </w:r>
          </w:p>
        </w:tc>
        <w:tc>
          <w:tcPr>
            <w:tcW w:w="1540" w:type="dxa"/>
            <w:tcBorders>
              <w:top w:val="double" w:sz="4" w:space="0" w:color="auto"/>
              <w:bottom w:val="single" w:sz="4" w:space="0" w:color="auto"/>
            </w:tcBorders>
          </w:tcPr>
          <w:p w14:paraId="030351AB" w14:textId="77777777" w:rsidR="005E6D0E" w:rsidRDefault="005E6D0E" w:rsidP="00CD0823">
            <w:r>
              <w:t>p-value</w:t>
            </w:r>
          </w:p>
        </w:tc>
        <w:tc>
          <w:tcPr>
            <w:tcW w:w="733" w:type="dxa"/>
            <w:tcBorders>
              <w:top w:val="double" w:sz="4" w:space="0" w:color="auto"/>
              <w:bottom w:val="single" w:sz="4" w:space="0" w:color="auto"/>
            </w:tcBorders>
          </w:tcPr>
          <w:p w14:paraId="3160C505" w14:textId="77777777" w:rsidR="005E6D0E" w:rsidRDefault="005E6D0E" w:rsidP="00CD0823"/>
        </w:tc>
      </w:tr>
      <w:tr w:rsidR="005E6D0E" w14:paraId="66E9B694" w14:textId="77777777" w:rsidTr="00CD0823">
        <w:trPr>
          <w:jc w:val="center"/>
        </w:trPr>
        <w:tc>
          <w:tcPr>
            <w:tcW w:w="1951" w:type="dxa"/>
            <w:tcBorders>
              <w:top w:val="single" w:sz="4" w:space="0" w:color="auto"/>
            </w:tcBorders>
          </w:tcPr>
          <w:p w14:paraId="225E388F" w14:textId="77777777" w:rsidR="005E6D0E" w:rsidRDefault="005E6D0E" w:rsidP="00CD0823">
            <w:r>
              <w:t>Intercept</w:t>
            </w:r>
          </w:p>
        </w:tc>
        <w:tc>
          <w:tcPr>
            <w:tcW w:w="1129" w:type="dxa"/>
            <w:tcBorders>
              <w:top w:val="single" w:sz="4" w:space="0" w:color="auto"/>
            </w:tcBorders>
          </w:tcPr>
          <w:p w14:paraId="13AC7ADA" w14:textId="77777777" w:rsidR="005E6D0E" w:rsidRDefault="005E6D0E" w:rsidP="00CD0823">
            <w:r>
              <w:t>66.01</w:t>
            </w:r>
          </w:p>
        </w:tc>
        <w:tc>
          <w:tcPr>
            <w:tcW w:w="1540" w:type="dxa"/>
            <w:tcBorders>
              <w:top w:val="single" w:sz="4" w:space="0" w:color="auto"/>
            </w:tcBorders>
          </w:tcPr>
          <w:p w14:paraId="5AF1B9D0" w14:textId="77777777" w:rsidR="005E6D0E" w:rsidRDefault="005E6D0E" w:rsidP="00CD0823">
            <w:r>
              <w:t>0.001</w:t>
            </w:r>
          </w:p>
        </w:tc>
        <w:tc>
          <w:tcPr>
            <w:tcW w:w="733" w:type="dxa"/>
            <w:tcBorders>
              <w:top w:val="single" w:sz="4" w:space="0" w:color="auto"/>
            </w:tcBorders>
          </w:tcPr>
          <w:p w14:paraId="06723862" w14:textId="77777777" w:rsidR="005E6D0E" w:rsidRDefault="005E6D0E" w:rsidP="00CD0823">
            <w:r>
              <w:t>**</w:t>
            </w:r>
          </w:p>
        </w:tc>
      </w:tr>
      <w:tr w:rsidR="005E6D0E" w14:paraId="0CC12823" w14:textId="77777777" w:rsidTr="00CD0823">
        <w:trPr>
          <w:jc w:val="center"/>
        </w:trPr>
        <w:tc>
          <w:tcPr>
            <w:tcW w:w="1951" w:type="dxa"/>
          </w:tcPr>
          <w:p w14:paraId="2F0E47B3" w14:textId="77777777" w:rsidR="005E6D0E" w:rsidRDefault="005E6D0E" w:rsidP="00CD0823">
            <w:r>
              <w:t>Genetic group</w:t>
            </w:r>
          </w:p>
        </w:tc>
        <w:tc>
          <w:tcPr>
            <w:tcW w:w="1129" w:type="dxa"/>
          </w:tcPr>
          <w:p w14:paraId="51E16223" w14:textId="77777777" w:rsidR="005E6D0E" w:rsidRDefault="005E6D0E" w:rsidP="00CD0823">
            <w:r w:rsidRPr="00D31256">
              <w:t>0.02</w:t>
            </w:r>
          </w:p>
        </w:tc>
        <w:tc>
          <w:tcPr>
            <w:tcW w:w="1540" w:type="dxa"/>
          </w:tcPr>
          <w:p w14:paraId="4E7EB6D3" w14:textId="77777777" w:rsidR="005E6D0E" w:rsidRDefault="005E6D0E" w:rsidP="00CD0823">
            <w:r w:rsidRPr="00D31256">
              <w:t>0.871</w:t>
            </w:r>
          </w:p>
        </w:tc>
        <w:tc>
          <w:tcPr>
            <w:tcW w:w="733" w:type="dxa"/>
          </w:tcPr>
          <w:p w14:paraId="6E389BE2" w14:textId="77777777" w:rsidR="005E6D0E" w:rsidRPr="00D31256" w:rsidRDefault="005E6D0E" w:rsidP="00CD0823"/>
        </w:tc>
      </w:tr>
      <w:tr w:rsidR="005E6D0E" w14:paraId="1EEC25AC" w14:textId="77777777" w:rsidTr="00CD0823">
        <w:trPr>
          <w:jc w:val="center"/>
        </w:trPr>
        <w:tc>
          <w:tcPr>
            <w:tcW w:w="1951" w:type="dxa"/>
          </w:tcPr>
          <w:p w14:paraId="692D83EE" w14:textId="77777777" w:rsidR="005E6D0E" w:rsidRDefault="005E6D0E" w:rsidP="00CD0823">
            <w:r>
              <w:t>age in months</w:t>
            </w:r>
          </w:p>
        </w:tc>
        <w:tc>
          <w:tcPr>
            <w:tcW w:w="1129" w:type="dxa"/>
          </w:tcPr>
          <w:p w14:paraId="122B2AAA" w14:textId="77777777" w:rsidR="005E6D0E" w:rsidRDefault="005E6D0E" w:rsidP="00CD0823">
            <w:r w:rsidRPr="00D31256">
              <w:t>16.99</w:t>
            </w:r>
          </w:p>
        </w:tc>
        <w:tc>
          <w:tcPr>
            <w:tcW w:w="1540" w:type="dxa"/>
          </w:tcPr>
          <w:p w14:paraId="1D107023" w14:textId="77777777" w:rsidR="005E6D0E" w:rsidRDefault="005E6D0E" w:rsidP="00CD0823">
            <w:r w:rsidRPr="00D31256">
              <w:t>0.023</w:t>
            </w:r>
          </w:p>
        </w:tc>
        <w:tc>
          <w:tcPr>
            <w:tcW w:w="733" w:type="dxa"/>
          </w:tcPr>
          <w:p w14:paraId="1AAAA0EB" w14:textId="77777777" w:rsidR="005E6D0E" w:rsidRPr="00D31256" w:rsidRDefault="005E6D0E" w:rsidP="00CD0823">
            <w:r>
              <w:t>*</w:t>
            </w:r>
          </w:p>
        </w:tc>
      </w:tr>
      <w:tr w:rsidR="005E6D0E" w14:paraId="0D58EC69" w14:textId="77777777" w:rsidTr="00CD0823">
        <w:trPr>
          <w:jc w:val="center"/>
        </w:trPr>
        <w:tc>
          <w:tcPr>
            <w:tcW w:w="1951" w:type="dxa"/>
          </w:tcPr>
          <w:p w14:paraId="646E0A34" w14:textId="77777777" w:rsidR="005E6D0E" w:rsidRDefault="005E6D0E" w:rsidP="00CD0823">
            <w:r>
              <w:t>Birth year</w:t>
            </w:r>
          </w:p>
        </w:tc>
        <w:tc>
          <w:tcPr>
            <w:tcW w:w="1129" w:type="dxa"/>
          </w:tcPr>
          <w:p w14:paraId="6C8A5B1C" w14:textId="77777777" w:rsidR="005E6D0E" w:rsidRDefault="005E6D0E" w:rsidP="00CD0823">
            <w:r w:rsidRPr="00D31256">
              <w:t>1.76</w:t>
            </w:r>
          </w:p>
        </w:tc>
        <w:tc>
          <w:tcPr>
            <w:tcW w:w="1540" w:type="dxa"/>
          </w:tcPr>
          <w:p w14:paraId="12D6226F" w14:textId="77777777" w:rsidR="005E6D0E" w:rsidRDefault="005E6D0E" w:rsidP="00CD0823">
            <w:r w:rsidRPr="00D31256">
              <w:t>0.107</w:t>
            </w:r>
          </w:p>
        </w:tc>
        <w:tc>
          <w:tcPr>
            <w:tcW w:w="733" w:type="dxa"/>
          </w:tcPr>
          <w:p w14:paraId="3BF3A6F6" w14:textId="77777777" w:rsidR="005E6D0E" w:rsidRPr="00D31256" w:rsidRDefault="005E6D0E" w:rsidP="00CD0823"/>
        </w:tc>
      </w:tr>
      <w:tr w:rsidR="005E6D0E" w14:paraId="7B663109" w14:textId="77777777" w:rsidTr="00CD0823">
        <w:trPr>
          <w:jc w:val="center"/>
        </w:trPr>
        <w:tc>
          <w:tcPr>
            <w:tcW w:w="1951" w:type="dxa"/>
          </w:tcPr>
          <w:p w14:paraId="27721EBC" w14:textId="77777777" w:rsidR="005E6D0E" w:rsidRDefault="005E6D0E" w:rsidP="00CD0823">
            <w:r>
              <w:t>qPCR row</w:t>
            </w:r>
          </w:p>
        </w:tc>
        <w:tc>
          <w:tcPr>
            <w:tcW w:w="1129" w:type="dxa"/>
          </w:tcPr>
          <w:p w14:paraId="6011DAAD" w14:textId="77777777" w:rsidR="005E6D0E" w:rsidRDefault="005E6D0E" w:rsidP="00CD0823">
            <w:r w:rsidRPr="00D31256">
              <w:t>34.53</w:t>
            </w:r>
          </w:p>
        </w:tc>
        <w:tc>
          <w:tcPr>
            <w:tcW w:w="1540" w:type="dxa"/>
          </w:tcPr>
          <w:p w14:paraId="27FF0A85" w14:textId="77777777" w:rsidR="005E6D0E" w:rsidRDefault="005E6D0E" w:rsidP="00CD0823">
            <w:r w:rsidRPr="00D31256">
              <w:t>&lt;</w:t>
            </w:r>
            <w:r>
              <w:t>0</w:t>
            </w:r>
            <w:r w:rsidRPr="00D31256">
              <w:t>.001</w:t>
            </w:r>
          </w:p>
        </w:tc>
        <w:tc>
          <w:tcPr>
            <w:tcW w:w="733" w:type="dxa"/>
          </w:tcPr>
          <w:p w14:paraId="7E436AD4" w14:textId="77777777" w:rsidR="005E6D0E" w:rsidRPr="00D31256" w:rsidRDefault="005E6D0E" w:rsidP="00CD0823">
            <w:r>
              <w:t>***</w:t>
            </w:r>
          </w:p>
        </w:tc>
      </w:tr>
      <w:tr w:rsidR="005E6D0E" w14:paraId="2B18CF1E" w14:textId="77777777" w:rsidTr="00CD0823">
        <w:trPr>
          <w:jc w:val="center"/>
        </w:trPr>
        <w:tc>
          <w:tcPr>
            <w:tcW w:w="1951" w:type="dxa"/>
            <w:tcBorders>
              <w:bottom w:val="single" w:sz="4" w:space="0" w:color="auto"/>
            </w:tcBorders>
          </w:tcPr>
          <w:p w14:paraId="1A742760" w14:textId="77777777" w:rsidR="005E6D0E" w:rsidRDefault="005E6D0E" w:rsidP="00CD0823">
            <w:r>
              <w:t>qPCR plate</w:t>
            </w:r>
          </w:p>
        </w:tc>
        <w:tc>
          <w:tcPr>
            <w:tcW w:w="1129" w:type="dxa"/>
            <w:tcBorders>
              <w:bottom w:val="single" w:sz="4" w:space="0" w:color="auto"/>
            </w:tcBorders>
          </w:tcPr>
          <w:p w14:paraId="75174026" w14:textId="77777777" w:rsidR="005E6D0E" w:rsidRDefault="005E6D0E" w:rsidP="00CD0823">
            <w:r w:rsidRPr="00D31256">
              <w:t>5.98</w:t>
            </w:r>
          </w:p>
        </w:tc>
        <w:tc>
          <w:tcPr>
            <w:tcW w:w="1540" w:type="dxa"/>
            <w:tcBorders>
              <w:bottom w:val="single" w:sz="4" w:space="0" w:color="auto"/>
            </w:tcBorders>
          </w:tcPr>
          <w:p w14:paraId="1804ED70" w14:textId="77777777" w:rsidR="005E6D0E" w:rsidRDefault="005E6D0E" w:rsidP="00CD0823">
            <w:pPr>
              <w:keepNext/>
            </w:pPr>
            <w:r w:rsidRPr="00D31256">
              <w:t>&lt;</w:t>
            </w:r>
            <w:r>
              <w:t>0</w:t>
            </w:r>
            <w:r w:rsidRPr="00D31256">
              <w:t>.001</w:t>
            </w:r>
          </w:p>
        </w:tc>
        <w:tc>
          <w:tcPr>
            <w:tcW w:w="733" w:type="dxa"/>
            <w:tcBorders>
              <w:bottom w:val="single" w:sz="4" w:space="0" w:color="auto"/>
            </w:tcBorders>
          </w:tcPr>
          <w:p w14:paraId="1015B04A" w14:textId="77777777" w:rsidR="005E6D0E" w:rsidRPr="00D31256" w:rsidRDefault="005E6D0E" w:rsidP="00CD0823">
            <w:pPr>
              <w:keepNext/>
            </w:pPr>
            <w:r>
              <w:t>***</w:t>
            </w:r>
          </w:p>
        </w:tc>
      </w:tr>
    </w:tbl>
    <w:p w14:paraId="71CE6945" w14:textId="77777777" w:rsidR="005E6D0E" w:rsidRDefault="005E6D0E" w:rsidP="005E6D0E">
      <w:pPr>
        <w:pStyle w:val="Caption"/>
        <w:rPr>
          <w:b w:val="0"/>
        </w:rPr>
      </w:pPr>
    </w:p>
    <w:p w14:paraId="1C78540A" w14:textId="77A03349" w:rsidR="00D31256" w:rsidRDefault="00D31256" w:rsidP="005E6D0E">
      <w:pPr>
        <w:pStyle w:val="Heading2"/>
        <w:spacing w:line="480" w:lineRule="auto"/>
      </w:pPr>
    </w:p>
    <w:sectPr w:rsidR="00D31256" w:rsidSect="00F5698E">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8FC5C" w15:done="0"/>
  <w15:commentEx w15:paraId="04B6388E" w15:done="0"/>
  <w15:commentEx w15:paraId="5DA45EF9" w15:done="0"/>
  <w15:commentEx w15:paraId="05DC69ED" w15:done="0"/>
  <w15:commentEx w15:paraId="73D859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7932" w14:textId="77777777" w:rsidR="00F90D16" w:rsidRDefault="00F90D16" w:rsidP="005E6D0E">
      <w:pPr>
        <w:spacing w:after="0" w:line="240" w:lineRule="auto"/>
      </w:pPr>
      <w:r>
        <w:separator/>
      </w:r>
    </w:p>
  </w:endnote>
  <w:endnote w:type="continuationSeparator" w:id="0">
    <w:p w14:paraId="3FC5CDCD" w14:textId="77777777" w:rsidR="00F90D16" w:rsidRDefault="00F90D16" w:rsidP="005E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28269"/>
      <w:docPartObj>
        <w:docPartGallery w:val="Page Numbers (Bottom of Page)"/>
        <w:docPartUnique/>
      </w:docPartObj>
    </w:sdtPr>
    <w:sdtEndPr>
      <w:rPr>
        <w:noProof/>
      </w:rPr>
    </w:sdtEndPr>
    <w:sdtContent>
      <w:p w14:paraId="69AD3CD0" w14:textId="298EFB65" w:rsidR="005E6D0E" w:rsidRDefault="005E6D0E">
        <w:pPr>
          <w:pStyle w:val="Footer"/>
          <w:jc w:val="right"/>
        </w:pPr>
        <w:r>
          <w:fldChar w:fldCharType="begin"/>
        </w:r>
        <w:r>
          <w:instrText xml:space="preserve"> PAGE   \* MERGEFORMAT </w:instrText>
        </w:r>
        <w:r>
          <w:fldChar w:fldCharType="separate"/>
        </w:r>
        <w:r w:rsidR="00780E3A">
          <w:rPr>
            <w:noProof/>
          </w:rPr>
          <w:t>5</w:t>
        </w:r>
        <w:r>
          <w:rPr>
            <w:noProof/>
          </w:rPr>
          <w:fldChar w:fldCharType="end"/>
        </w:r>
      </w:p>
    </w:sdtContent>
  </w:sdt>
  <w:p w14:paraId="761BC4C0" w14:textId="77777777" w:rsidR="005E6D0E" w:rsidRDefault="005E6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08CBA" w14:textId="77777777" w:rsidR="00F90D16" w:rsidRDefault="00F90D16" w:rsidP="005E6D0E">
      <w:pPr>
        <w:spacing w:after="0" w:line="240" w:lineRule="auto"/>
      </w:pPr>
      <w:r>
        <w:separator/>
      </w:r>
    </w:p>
  </w:footnote>
  <w:footnote w:type="continuationSeparator" w:id="0">
    <w:p w14:paraId="7CC0D0F4" w14:textId="77777777" w:rsidR="00F90D16" w:rsidRDefault="00F90D16" w:rsidP="005E6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988"/>
    <w:multiLevelType w:val="multilevel"/>
    <w:tmpl w:val="7396AB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lvlText w:val="%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Y Hannah">
    <w15:presenceInfo w15:providerId="AD" w15:userId="S-1-5-21-861567501-1417001333-682003330-526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E8"/>
    <w:rsid w:val="000E3707"/>
    <w:rsid w:val="00164FB2"/>
    <w:rsid w:val="00180BE8"/>
    <w:rsid w:val="0026032C"/>
    <w:rsid w:val="002A3399"/>
    <w:rsid w:val="00333837"/>
    <w:rsid w:val="004958A5"/>
    <w:rsid w:val="004E01EC"/>
    <w:rsid w:val="005D18CB"/>
    <w:rsid w:val="005E6D0E"/>
    <w:rsid w:val="006D000A"/>
    <w:rsid w:val="007473B7"/>
    <w:rsid w:val="00780E3A"/>
    <w:rsid w:val="00785799"/>
    <w:rsid w:val="0087391F"/>
    <w:rsid w:val="0095771E"/>
    <w:rsid w:val="00A45743"/>
    <w:rsid w:val="00A57F61"/>
    <w:rsid w:val="00AC02C2"/>
    <w:rsid w:val="00AD573D"/>
    <w:rsid w:val="00B14C5E"/>
    <w:rsid w:val="00C1184B"/>
    <w:rsid w:val="00C505DA"/>
    <w:rsid w:val="00C573B3"/>
    <w:rsid w:val="00CB4F5C"/>
    <w:rsid w:val="00CF6E35"/>
    <w:rsid w:val="00D31256"/>
    <w:rsid w:val="00D339ED"/>
    <w:rsid w:val="00DF4470"/>
    <w:rsid w:val="00E105E8"/>
    <w:rsid w:val="00E10EC2"/>
    <w:rsid w:val="00EB7143"/>
    <w:rsid w:val="00EF466D"/>
    <w:rsid w:val="00F5698E"/>
    <w:rsid w:val="00F90D16"/>
    <w:rsid w:val="00FE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0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6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BE8"/>
    <w:rPr>
      <w:rFonts w:asciiTheme="majorHAnsi" w:eastAsiaTheme="majorEastAsia" w:hAnsiTheme="majorHAnsi" w:cstheme="majorBidi"/>
      <w:color w:val="17365D" w:themeColor="text2" w:themeShade="BF"/>
      <w:spacing w:val="5"/>
      <w:kern w:val="28"/>
      <w:sz w:val="52"/>
      <w:szCs w:val="52"/>
    </w:rPr>
  </w:style>
  <w:style w:type="paragraph" w:customStyle="1" w:styleId="BodyA">
    <w:name w:val="Body A"/>
    <w:rsid w:val="00180BE8"/>
    <w:pPr>
      <w:pBdr>
        <w:top w:val="nil"/>
        <w:left w:val="nil"/>
        <w:bottom w:val="nil"/>
        <w:right w:val="nil"/>
        <w:between w:val="nil"/>
        <w:bar w:val="nil"/>
      </w:pBdr>
      <w:spacing w:after="240" w:line="480" w:lineRule="auto"/>
      <w:ind w:firstLine="360"/>
    </w:pPr>
    <w:rPr>
      <w:rFonts w:ascii="Helvetica" w:eastAsia="Arial Unicode MS" w:hAnsi="Arial Unicode MS" w:cs="Arial Unicode MS"/>
      <w:color w:val="000000"/>
      <w:u w:color="000000"/>
      <w:bdr w:val="nil"/>
      <w:lang w:val="en-US" w:eastAsia="en-GB"/>
    </w:rPr>
  </w:style>
  <w:style w:type="character" w:styleId="Emphasis">
    <w:name w:val="Emphasis"/>
    <w:basedOn w:val="DefaultParagraphFont"/>
    <w:uiPriority w:val="20"/>
    <w:qFormat/>
    <w:rsid w:val="00180BE8"/>
    <w:rPr>
      <w:i/>
      <w:iCs/>
    </w:rPr>
  </w:style>
  <w:style w:type="character" w:customStyle="1" w:styleId="apple-converted-space">
    <w:name w:val="apple-converted-space"/>
    <w:basedOn w:val="DefaultParagraphFont"/>
    <w:rsid w:val="00180BE8"/>
  </w:style>
  <w:style w:type="character" w:customStyle="1" w:styleId="Heading1Char">
    <w:name w:val="Heading 1 Char"/>
    <w:basedOn w:val="DefaultParagraphFont"/>
    <w:link w:val="Heading1"/>
    <w:uiPriority w:val="9"/>
    <w:rsid w:val="00180B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0BE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26032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D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CB"/>
    <w:rPr>
      <w:rFonts w:ascii="Tahoma" w:hAnsi="Tahoma" w:cs="Tahoma"/>
      <w:sz w:val="16"/>
      <w:szCs w:val="16"/>
    </w:rPr>
  </w:style>
  <w:style w:type="table" w:styleId="TableGrid">
    <w:name w:val="Table Grid"/>
    <w:basedOn w:val="TableNormal"/>
    <w:uiPriority w:val="59"/>
    <w:rsid w:val="00E1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F5C"/>
    <w:rPr>
      <w:sz w:val="16"/>
      <w:szCs w:val="16"/>
    </w:rPr>
  </w:style>
  <w:style w:type="paragraph" w:styleId="CommentText">
    <w:name w:val="annotation text"/>
    <w:basedOn w:val="Normal"/>
    <w:link w:val="CommentTextChar"/>
    <w:uiPriority w:val="99"/>
    <w:semiHidden/>
    <w:unhideWhenUsed/>
    <w:rsid w:val="00CB4F5C"/>
    <w:pPr>
      <w:spacing w:line="240" w:lineRule="auto"/>
    </w:pPr>
    <w:rPr>
      <w:sz w:val="20"/>
      <w:szCs w:val="20"/>
    </w:rPr>
  </w:style>
  <w:style w:type="character" w:customStyle="1" w:styleId="CommentTextChar">
    <w:name w:val="Comment Text Char"/>
    <w:basedOn w:val="DefaultParagraphFont"/>
    <w:link w:val="CommentText"/>
    <w:uiPriority w:val="99"/>
    <w:semiHidden/>
    <w:rsid w:val="00CB4F5C"/>
    <w:rPr>
      <w:sz w:val="20"/>
      <w:szCs w:val="20"/>
    </w:rPr>
  </w:style>
  <w:style w:type="paragraph" w:styleId="CommentSubject">
    <w:name w:val="annotation subject"/>
    <w:basedOn w:val="CommentText"/>
    <w:next w:val="CommentText"/>
    <w:link w:val="CommentSubjectChar"/>
    <w:uiPriority w:val="99"/>
    <w:semiHidden/>
    <w:unhideWhenUsed/>
    <w:rsid w:val="00CB4F5C"/>
    <w:rPr>
      <w:b/>
      <w:bCs/>
    </w:rPr>
  </w:style>
  <w:style w:type="character" w:customStyle="1" w:styleId="CommentSubjectChar">
    <w:name w:val="Comment Subject Char"/>
    <w:basedOn w:val="CommentTextChar"/>
    <w:link w:val="CommentSubject"/>
    <w:uiPriority w:val="99"/>
    <w:semiHidden/>
    <w:rsid w:val="00CB4F5C"/>
    <w:rPr>
      <w:b/>
      <w:bCs/>
      <w:sz w:val="20"/>
      <w:szCs w:val="20"/>
    </w:rPr>
  </w:style>
  <w:style w:type="character" w:customStyle="1" w:styleId="Heading3Char">
    <w:name w:val="Heading 3 Char"/>
    <w:basedOn w:val="DefaultParagraphFont"/>
    <w:link w:val="Heading3"/>
    <w:uiPriority w:val="9"/>
    <w:semiHidden/>
    <w:rsid w:val="005E6D0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E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0E"/>
  </w:style>
  <w:style w:type="paragraph" w:styleId="Footer">
    <w:name w:val="footer"/>
    <w:basedOn w:val="Normal"/>
    <w:link w:val="FooterChar"/>
    <w:uiPriority w:val="99"/>
    <w:unhideWhenUsed/>
    <w:rsid w:val="005E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0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6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BE8"/>
    <w:rPr>
      <w:rFonts w:asciiTheme="majorHAnsi" w:eastAsiaTheme="majorEastAsia" w:hAnsiTheme="majorHAnsi" w:cstheme="majorBidi"/>
      <w:color w:val="17365D" w:themeColor="text2" w:themeShade="BF"/>
      <w:spacing w:val="5"/>
      <w:kern w:val="28"/>
      <w:sz w:val="52"/>
      <w:szCs w:val="52"/>
    </w:rPr>
  </w:style>
  <w:style w:type="paragraph" w:customStyle="1" w:styleId="BodyA">
    <w:name w:val="Body A"/>
    <w:rsid w:val="00180BE8"/>
    <w:pPr>
      <w:pBdr>
        <w:top w:val="nil"/>
        <w:left w:val="nil"/>
        <w:bottom w:val="nil"/>
        <w:right w:val="nil"/>
        <w:between w:val="nil"/>
        <w:bar w:val="nil"/>
      </w:pBdr>
      <w:spacing w:after="240" w:line="480" w:lineRule="auto"/>
      <w:ind w:firstLine="360"/>
    </w:pPr>
    <w:rPr>
      <w:rFonts w:ascii="Helvetica" w:eastAsia="Arial Unicode MS" w:hAnsi="Arial Unicode MS" w:cs="Arial Unicode MS"/>
      <w:color w:val="000000"/>
      <w:u w:color="000000"/>
      <w:bdr w:val="nil"/>
      <w:lang w:val="en-US" w:eastAsia="en-GB"/>
    </w:rPr>
  </w:style>
  <w:style w:type="character" w:styleId="Emphasis">
    <w:name w:val="Emphasis"/>
    <w:basedOn w:val="DefaultParagraphFont"/>
    <w:uiPriority w:val="20"/>
    <w:qFormat/>
    <w:rsid w:val="00180BE8"/>
    <w:rPr>
      <w:i/>
      <w:iCs/>
    </w:rPr>
  </w:style>
  <w:style w:type="character" w:customStyle="1" w:styleId="apple-converted-space">
    <w:name w:val="apple-converted-space"/>
    <w:basedOn w:val="DefaultParagraphFont"/>
    <w:rsid w:val="00180BE8"/>
  </w:style>
  <w:style w:type="character" w:customStyle="1" w:styleId="Heading1Char">
    <w:name w:val="Heading 1 Char"/>
    <w:basedOn w:val="DefaultParagraphFont"/>
    <w:link w:val="Heading1"/>
    <w:uiPriority w:val="9"/>
    <w:rsid w:val="00180B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0BE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26032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D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CB"/>
    <w:rPr>
      <w:rFonts w:ascii="Tahoma" w:hAnsi="Tahoma" w:cs="Tahoma"/>
      <w:sz w:val="16"/>
      <w:szCs w:val="16"/>
    </w:rPr>
  </w:style>
  <w:style w:type="table" w:styleId="TableGrid">
    <w:name w:val="Table Grid"/>
    <w:basedOn w:val="TableNormal"/>
    <w:uiPriority w:val="59"/>
    <w:rsid w:val="00E1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F5C"/>
    <w:rPr>
      <w:sz w:val="16"/>
      <w:szCs w:val="16"/>
    </w:rPr>
  </w:style>
  <w:style w:type="paragraph" w:styleId="CommentText">
    <w:name w:val="annotation text"/>
    <w:basedOn w:val="Normal"/>
    <w:link w:val="CommentTextChar"/>
    <w:uiPriority w:val="99"/>
    <w:semiHidden/>
    <w:unhideWhenUsed/>
    <w:rsid w:val="00CB4F5C"/>
    <w:pPr>
      <w:spacing w:line="240" w:lineRule="auto"/>
    </w:pPr>
    <w:rPr>
      <w:sz w:val="20"/>
      <w:szCs w:val="20"/>
    </w:rPr>
  </w:style>
  <w:style w:type="character" w:customStyle="1" w:styleId="CommentTextChar">
    <w:name w:val="Comment Text Char"/>
    <w:basedOn w:val="DefaultParagraphFont"/>
    <w:link w:val="CommentText"/>
    <w:uiPriority w:val="99"/>
    <w:semiHidden/>
    <w:rsid w:val="00CB4F5C"/>
    <w:rPr>
      <w:sz w:val="20"/>
      <w:szCs w:val="20"/>
    </w:rPr>
  </w:style>
  <w:style w:type="paragraph" w:styleId="CommentSubject">
    <w:name w:val="annotation subject"/>
    <w:basedOn w:val="CommentText"/>
    <w:next w:val="CommentText"/>
    <w:link w:val="CommentSubjectChar"/>
    <w:uiPriority w:val="99"/>
    <w:semiHidden/>
    <w:unhideWhenUsed/>
    <w:rsid w:val="00CB4F5C"/>
    <w:rPr>
      <w:b/>
      <w:bCs/>
    </w:rPr>
  </w:style>
  <w:style w:type="character" w:customStyle="1" w:styleId="CommentSubjectChar">
    <w:name w:val="Comment Subject Char"/>
    <w:basedOn w:val="CommentTextChar"/>
    <w:link w:val="CommentSubject"/>
    <w:uiPriority w:val="99"/>
    <w:semiHidden/>
    <w:rsid w:val="00CB4F5C"/>
    <w:rPr>
      <w:b/>
      <w:bCs/>
      <w:sz w:val="20"/>
      <w:szCs w:val="20"/>
    </w:rPr>
  </w:style>
  <w:style w:type="character" w:customStyle="1" w:styleId="Heading3Char">
    <w:name w:val="Heading 3 Char"/>
    <w:basedOn w:val="DefaultParagraphFont"/>
    <w:link w:val="Heading3"/>
    <w:uiPriority w:val="9"/>
    <w:semiHidden/>
    <w:rsid w:val="005E6D0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E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0E"/>
  </w:style>
  <w:style w:type="paragraph" w:styleId="Footer">
    <w:name w:val="footer"/>
    <w:basedOn w:val="Normal"/>
    <w:link w:val="FooterChar"/>
    <w:uiPriority w:val="99"/>
    <w:unhideWhenUsed/>
    <w:rsid w:val="005E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8515">
      <w:bodyDiv w:val="1"/>
      <w:marLeft w:val="0"/>
      <w:marRight w:val="0"/>
      <w:marTop w:val="0"/>
      <w:marBottom w:val="0"/>
      <w:divBdr>
        <w:top w:val="none" w:sz="0" w:space="0" w:color="auto"/>
        <w:left w:val="none" w:sz="0" w:space="0" w:color="auto"/>
        <w:bottom w:val="none" w:sz="0" w:space="0" w:color="auto"/>
        <w:right w:val="none" w:sz="0" w:space="0" w:color="auto"/>
      </w:divBdr>
    </w:div>
    <w:div w:id="351686900">
      <w:bodyDiv w:val="1"/>
      <w:marLeft w:val="0"/>
      <w:marRight w:val="0"/>
      <w:marTop w:val="0"/>
      <w:marBottom w:val="0"/>
      <w:divBdr>
        <w:top w:val="none" w:sz="0" w:space="0" w:color="auto"/>
        <w:left w:val="none" w:sz="0" w:space="0" w:color="auto"/>
        <w:bottom w:val="none" w:sz="0" w:space="0" w:color="auto"/>
        <w:right w:val="none" w:sz="0" w:space="0" w:color="auto"/>
      </w:divBdr>
    </w:div>
    <w:div w:id="543953288">
      <w:bodyDiv w:val="1"/>
      <w:marLeft w:val="0"/>
      <w:marRight w:val="0"/>
      <w:marTop w:val="0"/>
      <w:marBottom w:val="0"/>
      <w:divBdr>
        <w:top w:val="none" w:sz="0" w:space="0" w:color="auto"/>
        <w:left w:val="none" w:sz="0" w:space="0" w:color="auto"/>
        <w:bottom w:val="none" w:sz="0" w:space="0" w:color="auto"/>
        <w:right w:val="none" w:sz="0" w:space="0" w:color="auto"/>
      </w:divBdr>
    </w:div>
    <w:div w:id="857305949">
      <w:bodyDiv w:val="1"/>
      <w:marLeft w:val="0"/>
      <w:marRight w:val="0"/>
      <w:marTop w:val="0"/>
      <w:marBottom w:val="0"/>
      <w:divBdr>
        <w:top w:val="none" w:sz="0" w:space="0" w:color="auto"/>
        <w:left w:val="none" w:sz="0" w:space="0" w:color="auto"/>
        <w:bottom w:val="none" w:sz="0" w:space="0" w:color="auto"/>
        <w:right w:val="none" w:sz="0" w:space="0" w:color="auto"/>
      </w:divBdr>
    </w:div>
    <w:div w:id="872420992">
      <w:bodyDiv w:val="1"/>
      <w:marLeft w:val="0"/>
      <w:marRight w:val="0"/>
      <w:marTop w:val="0"/>
      <w:marBottom w:val="0"/>
      <w:divBdr>
        <w:top w:val="none" w:sz="0" w:space="0" w:color="auto"/>
        <w:left w:val="none" w:sz="0" w:space="0" w:color="auto"/>
        <w:bottom w:val="none" w:sz="0" w:space="0" w:color="auto"/>
        <w:right w:val="none" w:sz="0" w:space="0" w:color="auto"/>
      </w:divBdr>
    </w:div>
    <w:div w:id="894126817">
      <w:bodyDiv w:val="1"/>
      <w:marLeft w:val="0"/>
      <w:marRight w:val="0"/>
      <w:marTop w:val="0"/>
      <w:marBottom w:val="0"/>
      <w:divBdr>
        <w:top w:val="none" w:sz="0" w:space="0" w:color="auto"/>
        <w:left w:val="none" w:sz="0" w:space="0" w:color="auto"/>
        <w:bottom w:val="none" w:sz="0" w:space="0" w:color="auto"/>
        <w:right w:val="none" w:sz="0" w:space="0" w:color="auto"/>
      </w:divBdr>
    </w:div>
    <w:div w:id="908656991">
      <w:bodyDiv w:val="1"/>
      <w:marLeft w:val="0"/>
      <w:marRight w:val="0"/>
      <w:marTop w:val="0"/>
      <w:marBottom w:val="0"/>
      <w:divBdr>
        <w:top w:val="none" w:sz="0" w:space="0" w:color="auto"/>
        <w:left w:val="none" w:sz="0" w:space="0" w:color="auto"/>
        <w:bottom w:val="none" w:sz="0" w:space="0" w:color="auto"/>
        <w:right w:val="none" w:sz="0" w:space="0" w:color="auto"/>
      </w:divBdr>
    </w:div>
    <w:div w:id="1121067630">
      <w:bodyDiv w:val="1"/>
      <w:marLeft w:val="0"/>
      <w:marRight w:val="0"/>
      <w:marTop w:val="0"/>
      <w:marBottom w:val="0"/>
      <w:divBdr>
        <w:top w:val="none" w:sz="0" w:space="0" w:color="auto"/>
        <w:left w:val="none" w:sz="0" w:space="0" w:color="auto"/>
        <w:bottom w:val="none" w:sz="0" w:space="0" w:color="auto"/>
        <w:right w:val="none" w:sz="0" w:space="0" w:color="auto"/>
      </w:divBdr>
    </w:div>
    <w:div w:id="1577011918">
      <w:bodyDiv w:val="1"/>
      <w:marLeft w:val="0"/>
      <w:marRight w:val="0"/>
      <w:marTop w:val="0"/>
      <w:marBottom w:val="0"/>
      <w:divBdr>
        <w:top w:val="none" w:sz="0" w:space="0" w:color="auto"/>
        <w:left w:val="none" w:sz="0" w:space="0" w:color="auto"/>
        <w:bottom w:val="none" w:sz="0" w:space="0" w:color="auto"/>
        <w:right w:val="none" w:sz="0" w:space="0" w:color="auto"/>
      </w:divBdr>
    </w:div>
    <w:div w:id="19763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9A1AF8A-FD3C-4E91-A676-EE9917B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Seeker</dc:creator>
  <cp:lastModifiedBy>Luise Seeker</cp:lastModifiedBy>
  <cp:revision>3</cp:revision>
  <cp:lastPrinted>2017-10-07T07:38:00Z</cp:lastPrinted>
  <dcterms:created xsi:type="dcterms:W3CDTF">2018-01-19T13:07:00Z</dcterms:created>
  <dcterms:modified xsi:type="dcterms:W3CDTF">2018-01-19T13:13:00Z</dcterms:modified>
</cp:coreProperties>
</file>