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5D94" w14:textId="0F0F38C9" w:rsidR="00DC53C8" w:rsidRDefault="00686184" w:rsidP="00DC53C8">
      <w:pPr>
        <w:spacing w:line="360" w:lineRule="auto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S5 File</w:t>
      </w:r>
      <w:r w:rsidR="00DC53C8">
        <w:rPr>
          <w:rFonts w:ascii="Calibri" w:hAnsi="Calibri" w:cs="Arial"/>
          <w:b/>
        </w:rPr>
        <w:t>: Results for ‘skip-a-year’ dataset</w:t>
      </w:r>
      <w:r w:rsidR="0067643D">
        <w:rPr>
          <w:rFonts w:ascii="Calibri" w:hAnsi="Calibri" w:cs="Arial"/>
          <w:b/>
        </w:rPr>
        <w:t xml:space="preserve"> and outlier exclusion</w:t>
      </w:r>
    </w:p>
    <w:p w14:paraId="7A47F6D1" w14:textId="3E132B7A" w:rsidR="00DC53C8" w:rsidRPr="00DC53C8" w:rsidRDefault="00DC53C8" w:rsidP="00DC53C8">
      <w:pPr>
        <w:spacing w:line="360" w:lineRule="auto"/>
        <w:outlineLvl w:val="0"/>
        <w:rPr>
          <w:rFonts w:cs="Arial"/>
        </w:rPr>
      </w:pPr>
      <w:r>
        <w:rPr>
          <w:rFonts w:ascii="Calibri" w:hAnsi="Calibri" w:cs="Arial"/>
        </w:rPr>
        <w:tab/>
      </w:r>
      <w:r w:rsidRPr="00DC53C8">
        <w:rPr>
          <w:rFonts w:cs="Arial"/>
        </w:rPr>
        <w:t xml:space="preserve">Below we present results for our alternate ‘skip-a-year’ </w:t>
      </w:r>
      <w:r w:rsidR="0028103B">
        <w:rPr>
          <w:rFonts w:cs="Arial"/>
        </w:rPr>
        <w:t>model</w:t>
      </w:r>
      <w:r w:rsidR="0028103B" w:rsidRPr="00DC53C8">
        <w:rPr>
          <w:rFonts w:cs="Arial"/>
        </w:rPr>
        <w:t xml:space="preserve"> </w:t>
      </w:r>
      <w:r w:rsidRPr="00DC53C8">
        <w:rPr>
          <w:rFonts w:cs="Arial"/>
        </w:rPr>
        <w:t xml:space="preserve">for the section scale, created to address potential pseudo-replication concerns. In this </w:t>
      </w:r>
      <w:r w:rsidR="00D1196C">
        <w:rPr>
          <w:rFonts w:cs="Arial"/>
        </w:rPr>
        <w:t>model</w:t>
      </w:r>
      <w:r w:rsidRPr="00DC53C8">
        <w:rPr>
          <w:rFonts w:cs="Arial"/>
        </w:rPr>
        <w:t>, sections are left outside the study for one year if they experienced depredations during the previous year.</w:t>
      </w:r>
      <w:r w:rsidR="009542BB">
        <w:rPr>
          <w:rFonts w:cs="Arial"/>
        </w:rPr>
        <w:t xml:space="preserve"> </w:t>
      </w:r>
      <w:r w:rsidR="00D5199F">
        <w:rPr>
          <w:rFonts w:cs="Arial"/>
        </w:rPr>
        <w:t>A</w:t>
      </w:r>
      <w:r w:rsidRPr="00DC53C8">
        <w:rPr>
          <w:rFonts w:cs="Arial"/>
        </w:rPr>
        <w:t xml:space="preserve"> one-year period outside the study </w:t>
      </w:r>
      <w:r w:rsidR="009E76B3">
        <w:rPr>
          <w:rFonts w:cs="Arial"/>
        </w:rPr>
        <w:t>seem</w:t>
      </w:r>
      <w:r w:rsidR="009E76B3" w:rsidRPr="00DC53C8">
        <w:rPr>
          <w:rFonts w:cs="Arial"/>
        </w:rPr>
        <w:t xml:space="preserve">s </w:t>
      </w:r>
      <w:r w:rsidRPr="00DC53C8">
        <w:rPr>
          <w:rFonts w:cs="Arial"/>
        </w:rPr>
        <w:t>a sensible amount of time for the section to enter the study as a different subject (section-year combination) independen</w:t>
      </w:r>
      <w:r w:rsidR="009E76B3">
        <w:rPr>
          <w:rFonts w:cs="Arial"/>
        </w:rPr>
        <w:t>t</w:t>
      </w:r>
      <w:r w:rsidRPr="00DC53C8">
        <w:rPr>
          <w:rFonts w:cs="Arial"/>
        </w:rPr>
        <w:t xml:space="preserve"> from </w:t>
      </w:r>
      <w:r w:rsidR="009E76B3">
        <w:rPr>
          <w:rFonts w:cs="Arial"/>
        </w:rPr>
        <w:t>its prior inclusion.</w:t>
      </w:r>
      <w:r w:rsidRPr="00DC53C8">
        <w:rPr>
          <w:rFonts w:cs="Arial"/>
        </w:rPr>
        <w:t>.</w:t>
      </w:r>
    </w:p>
    <w:p w14:paraId="35D49A1A" w14:textId="7E11C073" w:rsidR="00DC53C8" w:rsidRPr="00DC53C8" w:rsidRDefault="00DC53C8" w:rsidP="00DC53C8">
      <w:pPr>
        <w:spacing w:line="360" w:lineRule="auto"/>
        <w:outlineLvl w:val="0"/>
        <w:rPr>
          <w:rFonts w:cs="Arial"/>
        </w:rPr>
      </w:pPr>
      <w:r w:rsidRPr="00DC53C8">
        <w:rPr>
          <w:rFonts w:cs="Arial"/>
        </w:rPr>
        <w:tab/>
        <w:t>Consistent with our main and supplementary analyses, log rank tests could not distinguish the survival functions between treatments at the section scale (df=1, general test: χ</w:t>
      </w:r>
      <w:r w:rsidRPr="00DC53C8">
        <w:rPr>
          <w:rFonts w:cs="Arial"/>
          <w:vertAlign w:val="superscript"/>
        </w:rPr>
        <w:t>2</w:t>
      </w:r>
      <w:r w:rsidRPr="00DC53C8">
        <w:rPr>
          <w:rFonts w:cs="Arial"/>
        </w:rPr>
        <w:t xml:space="preserve">=0.83, </w:t>
      </w:r>
      <w:r w:rsidRPr="00DC53C8">
        <w:rPr>
          <w:rFonts w:cs="Arial"/>
          <w:iCs/>
        </w:rPr>
        <w:t>P</w:t>
      </w:r>
      <w:r w:rsidRPr="00DC53C8">
        <w:rPr>
          <w:rFonts w:cs="Arial"/>
        </w:rPr>
        <w:t>=0.363; stratified test: χ</w:t>
      </w:r>
      <w:r w:rsidRPr="00DC53C8">
        <w:rPr>
          <w:rFonts w:cs="Arial"/>
          <w:vertAlign w:val="superscript"/>
        </w:rPr>
        <w:t>2</w:t>
      </w:r>
      <w:r w:rsidRPr="00DC53C8">
        <w:rPr>
          <w:rFonts w:cs="Arial"/>
        </w:rPr>
        <w:t xml:space="preserve">=1.27, </w:t>
      </w:r>
      <w:r w:rsidRPr="00DC53C8">
        <w:rPr>
          <w:rFonts w:cs="Arial"/>
          <w:iCs/>
        </w:rPr>
        <w:t>P</w:t>
      </w:r>
      <w:r w:rsidRPr="00DC53C8">
        <w:rPr>
          <w:rFonts w:cs="Arial"/>
        </w:rPr>
        <w:t xml:space="preserve">=0.488; </w:t>
      </w:r>
      <w:r w:rsidR="009542BB">
        <w:rPr>
          <w:rFonts w:cs="Arial"/>
        </w:rPr>
        <w:t>Table A</w:t>
      </w:r>
      <w:r w:rsidRPr="00DC53C8">
        <w:rPr>
          <w:rFonts w:cs="Arial"/>
        </w:rPr>
        <w:t>). Results for our Cox models are also consistent with our main results, suggesting a statistically insignificant effect of lethal intervention relative to no</w:t>
      </w:r>
      <w:r w:rsidR="00D92B28">
        <w:rPr>
          <w:rFonts w:cs="Arial"/>
        </w:rPr>
        <w:t>n-lethal</w:t>
      </w:r>
      <w:r w:rsidRPr="00DC53C8">
        <w:rPr>
          <w:rFonts w:cs="Arial"/>
        </w:rPr>
        <w:t xml:space="preserve"> intervention (</w:t>
      </w:r>
      <w:r w:rsidR="009542BB">
        <w:rPr>
          <w:rFonts w:cs="Arial"/>
        </w:rPr>
        <w:t>Table B</w:t>
      </w:r>
      <w:r w:rsidRPr="00DC53C8">
        <w:rPr>
          <w:rFonts w:cs="Arial"/>
        </w:rPr>
        <w:t xml:space="preserve">). The models including tvc indicate that violating the proportional hazards assumption is not a concern (tvc P&gt;0.05). Our main model, including treatment and year, </w:t>
      </w:r>
      <w:r w:rsidR="001D4444" w:rsidRPr="00DC53C8">
        <w:rPr>
          <w:rFonts w:cs="Arial"/>
        </w:rPr>
        <w:t>s</w:t>
      </w:r>
      <w:r w:rsidR="001D4444">
        <w:rPr>
          <w:rFonts w:cs="Arial"/>
        </w:rPr>
        <w:t>how</w:t>
      </w:r>
      <w:r w:rsidR="001D4444" w:rsidRPr="00DC53C8">
        <w:rPr>
          <w:rFonts w:cs="Arial"/>
        </w:rPr>
        <w:t xml:space="preserve">s </w:t>
      </w:r>
      <w:r w:rsidRPr="00DC53C8">
        <w:rPr>
          <w:rFonts w:cs="Arial"/>
        </w:rPr>
        <w:t>that lethal intervention was associated with a statistically insignificant 45% reduction in risk of recurrence compared to no</w:t>
      </w:r>
      <w:r w:rsidR="006428AD">
        <w:rPr>
          <w:rFonts w:cs="Arial"/>
        </w:rPr>
        <w:t>n-lethal</w:t>
      </w:r>
      <w:r w:rsidRPr="00DC53C8">
        <w:rPr>
          <w:rFonts w:cs="Arial"/>
        </w:rPr>
        <w:t xml:space="preserve"> intervention at the section scale (treatment HR=0.52, P=0.145). The risk of recurrence also seemed to increase with calendar-year (HR=1.07; P=0.104), but this effect was not statistically significant. Also consistent with our main results, we found no evidence of a correlation between delay to recurrence and the number of wolves killed for those depredation events followed by lethal intervention (Spearman’s rho P&gt;</w:t>
      </w:r>
      <w:r w:rsidR="00A52D6D">
        <w:rPr>
          <w:rFonts w:cs="Arial"/>
        </w:rPr>
        <w:t>0</w:t>
      </w:r>
      <w:r w:rsidRPr="00DC53C8">
        <w:rPr>
          <w:rFonts w:cs="Arial"/>
        </w:rPr>
        <w:t xml:space="preserve">.05; </w:t>
      </w:r>
      <w:r w:rsidR="009542BB">
        <w:rPr>
          <w:rFonts w:cs="Arial"/>
        </w:rPr>
        <w:t>Table C</w:t>
      </w:r>
      <w:r w:rsidRPr="00DC53C8">
        <w:rPr>
          <w:rFonts w:cs="Arial"/>
        </w:rPr>
        <w:t>).</w:t>
      </w:r>
    </w:p>
    <w:p w14:paraId="7E884087" w14:textId="0EB2FE19" w:rsidR="004F64C1" w:rsidRPr="004F64C1" w:rsidRDefault="004F64C1" w:rsidP="004F64C1">
      <w:pPr>
        <w:spacing w:line="360" w:lineRule="auto"/>
        <w:outlineLvl w:val="0"/>
        <w:rPr>
          <w:rFonts w:cs="Arial"/>
        </w:rPr>
      </w:pPr>
      <w:r>
        <w:rPr>
          <w:rFonts w:cs="Arial"/>
        </w:rPr>
        <w:tab/>
      </w:r>
      <w:r w:rsidRPr="004F64C1">
        <w:rPr>
          <w:rFonts w:cs="Arial"/>
        </w:rPr>
        <w:t>Additionally, we ran our tests on the dataset excluding one outlier farm which had an atypically high number of depredations (see</w:t>
      </w:r>
      <w:r w:rsidR="00076D18">
        <w:rPr>
          <w:rFonts w:cs="Arial"/>
        </w:rPr>
        <w:t xml:space="preserve"> </w:t>
      </w:r>
      <w:hyperlink r:id="rId6" w:tgtFrame="_blank" w:history="1">
        <w:r w:rsidRPr="004F64C1">
          <w:rPr>
            <w:rStyle w:val="Hyperlink"/>
            <w:rFonts w:cs="Arial"/>
          </w:rPr>
          <w:t>http://www.mlive.com/news/index.ssf/2013/11/john_koski_part_1_tour_the_far.html</w:t>
        </w:r>
      </w:hyperlink>
      <w:r w:rsidRPr="004F64C1">
        <w:rPr>
          <w:rFonts w:cs="Arial"/>
        </w:rPr>
        <w:t>). Although th</w:t>
      </w:r>
      <w:r w:rsidR="00012D8F">
        <w:rPr>
          <w:rFonts w:cs="Arial"/>
        </w:rPr>
        <w:t>is restricted the analysis to</w:t>
      </w:r>
      <w:r w:rsidR="00913B1D">
        <w:rPr>
          <w:rFonts w:cs="Arial"/>
        </w:rPr>
        <w:t xml:space="preserve"> one stratum</w:t>
      </w:r>
      <w:r w:rsidRPr="004F64C1">
        <w:rPr>
          <w:rFonts w:cs="Arial"/>
        </w:rPr>
        <w:t xml:space="preserve"> at each spatial scale, the results for both section and township echo our main r</w:t>
      </w:r>
      <w:r w:rsidR="00012D8F">
        <w:rPr>
          <w:rFonts w:cs="Arial"/>
        </w:rPr>
        <w:t>esults. Furthermore, the result</w:t>
      </w:r>
      <w:r w:rsidRPr="004F64C1">
        <w:rPr>
          <w:rFonts w:cs="Arial"/>
        </w:rPr>
        <w:t xml:space="preserve"> for increased risk for </w:t>
      </w:r>
      <w:r w:rsidR="00012D8F">
        <w:rPr>
          <w:rFonts w:cs="Arial"/>
        </w:rPr>
        <w:t>the township scale</w:t>
      </w:r>
      <w:r w:rsidRPr="004F64C1">
        <w:rPr>
          <w:rFonts w:cs="Arial"/>
        </w:rPr>
        <w:t xml:space="preserve"> </w:t>
      </w:r>
      <w:r w:rsidR="00A52D6D">
        <w:rPr>
          <w:rFonts w:cs="Arial"/>
        </w:rPr>
        <w:t>became stronger</w:t>
      </w:r>
      <w:r w:rsidRPr="004F64C1">
        <w:rPr>
          <w:rFonts w:cs="Arial"/>
        </w:rPr>
        <w:t xml:space="preserve"> (p=0.093) </w:t>
      </w:r>
      <w:r w:rsidR="00A52D6D">
        <w:rPr>
          <w:rFonts w:cs="Arial"/>
        </w:rPr>
        <w:t>in</w:t>
      </w:r>
      <w:r w:rsidR="00A52D6D" w:rsidRPr="004F64C1">
        <w:rPr>
          <w:rFonts w:cs="Arial"/>
        </w:rPr>
        <w:t xml:space="preserve"> </w:t>
      </w:r>
      <w:r w:rsidRPr="004F64C1">
        <w:rPr>
          <w:rFonts w:cs="Arial"/>
        </w:rPr>
        <w:t xml:space="preserve">this </w:t>
      </w:r>
      <w:r w:rsidR="00315A5D">
        <w:rPr>
          <w:rFonts w:cs="Arial"/>
        </w:rPr>
        <w:t>model</w:t>
      </w:r>
      <w:r w:rsidRPr="004F64C1">
        <w:rPr>
          <w:rFonts w:cs="Arial"/>
        </w:rPr>
        <w:t>.</w:t>
      </w:r>
    </w:p>
    <w:p w14:paraId="7A944D3A" w14:textId="77777777" w:rsidR="004F64C1" w:rsidRDefault="004F64C1" w:rsidP="00DC53C8">
      <w:pPr>
        <w:spacing w:line="360" w:lineRule="auto"/>
        <w:outlineLvl w:val="0"/>
        <w:rPr>
          <w:rFonts w:cs="Arial"/>
        </w:rPr>
      </w:pPr>
    </w:p>
    <w:p w14:paraId="56F1175B" w14:textId="77777777" w:rsidR="00530CDD" w:rsidRDefault="00530CDD" w:rsidP="00DC53C8">
      <w:pPr>
        <w:spacing w:line="360" w:lineRule="auto"/>
        <w:outlineLvl w:val="0"/>
        <w:rPr>
          <w:rFonts w:cs="Arial"/>
        </w:rPr>
      </w:pPr>
    </w:p>
    <w:p w14:paraId="40138CAC" w14:textId="77777777" w:rsidR="00115D4B" w:rsidRDefault="00115D4B" w:rsidP="00DC53C8">
      <w:pPr>
        <w:spacing w:line="360" w:lineRule="auto"/>
        <w:outlineLvl w:val="0"/>
        <w:rPr>
          <w:rFonts w:cs="Arial"/>
        </w:rPr>
      </w:pPr>
    </w:p>
    <w:p w14:paraId="7A19E4C8" w14:textId="77777777" w:rsidR="00530CDD" w:rsidRPr="00DC53C8" w:rsidRDefault="00530CDD" w:rsidP="00DC53C8">
      <w:pPr>
        <w:spacing w:line="360" w:lineRule="auto"/>
        <w:outlineLvl w:val="0"/>
        <w:rPr>
          <w:rFonts w:cs="Arial"/>
        </w:rPr>
      </w:pPr>
    </w:p>
    <w:p w14:paraId="089F77CE" w14:textId="51D50ADA" w:rsidR="00DC53C8" w:rsidRPr="00DC53C8" w:rsidRDefault="001F1E46" w:rsidP="00DC53C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sz w:val="20"/>
          <w:szCs w:val="20"/>
        </w:rPr>
        <w:lastRenderedPageBreak/>
        <w:t xml:space="preserve">Table </w:t>
      </w:r>
      <w:r w:rsidR="009542BB">
        <w:rPr>
          <w:rFonts w:cs="Arial"/>
          <w:b/>
          <w:sz w:val="20"/>
          <w:szCs w:val="20"/>
        </w:rPr>
        <w:t>A</w:t>
      </w:r>
      <w:r w:rsidR="00DC53C8" w:rsidRPr="00DC53C8">
        <w:rPr>
          <w:rFonts w:cs="Arial"/>
          <w:sz w:val="20"/>
          <w:szCs w:val="20"/>
        </w:rPr>
        <w:t>. General and stratified log-rank (χ</w:t>
      </w:r>
      <w:r w:rsidR="00DC53C8" w:rsidRPr="00DC53C8">
        <w:rPr>
          <w:rFonts w:cs="Arial"/>
          <w:sz w:val="20"/>
          <w:szCs w:val="20"/>
          <w:vertAlign w:val="superscript"/>
        </w:rPr>
        <w:t>2</w:t>
      </w:r>
      <w:r w:rsidR="00DC53C8" w:rsidRPr="00DC53C8">
        <w:rPr>
          <w:rFonts w:cs="Arial"/>
          <w:sz w:val="20"/>
          <w:szCs w:val="20"/>
        </w:rPr>
        <w:t>) tests examining difference between treatments’ survival distributions at the section level for the ‘skip-a-year’ dataset</w:t>
      </w:r>
      <w:r w:rsidR="0053538F">
        <w:rPr>
          <w:rFonts w:cs="Arial"/>
          <w:sz w:val="20"/>
          <w:szCs w:val="20"/>
        </w:rPr>
        <w:t>.</w:t>
      </w:r>
    </w:p>
    <w:tbl>
      <w:tblPr>
        <w:tblW w:w="7324" w:type="dxa"/>
        <w:tblLook w:val="04A0" w:firstRow="1" w:lastRow="0" w:firstColumn="1" w:lastColumn="0" w:noHBand="0" w:noVBand="1"/>
      </w:tblPr>
      <w:tblGrid>
        <w:gridCol w:w="4188"/>
        <w:gridCol w:w="1568"/>
        <w:gridCol w:w="1568"/>
      </w:tblGrid>
      <w:tr w:rsidR="003976E6" w:rsidRPr="003976E6" w14:paraId="47A78832" w14:textId="77777777" w:rsidTr="003976E6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4CEB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0C304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63CCE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2DB3B483" w14:textId="77777777" w:rsidTr="003976E6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0CC72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FE29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</w:tr>
      <w:tr w:rsidR="003976E6" w:rsidRPr="003976E6" w14:paraId="11C11DAD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0D0BE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SUBJECTS AND 'FAILURES'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4E9FC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36585C2E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2102" w14:textId="77777777" w:rsidR="003976E6" w:rsidRPr="003976E6" w:rsidRDefault="003976E6" w:rsidP="003976E6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DEPREDATION EVENTS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152E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3976E6" w:rsidRPr="003976E6" w14:paraId="395A283B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1BB6" w14:textId="77777777" w:rsidR="003976E6" w:rsidRPr="003976E6" w:rsidRDefault="003976E6" w:rsidP="003976E6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Failures (recurrent events)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50E80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976E6" w:rsidRPr="003976E6" w14:paraId="25B22611" w14:textId="77777777" w:rsidTr="003976E6">
        <w:trPr>
          <w:trHeight w:val="280"/>
        </w:trPr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63035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SURVIVAL FUNCTIONS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433C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0C2CC322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216F" w14:textId="77777777" w:rsidR="003976E6" w:rsidRPr="003976E6" w:rsidRDefault="003976E6" w:rsidP="003976E6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Log rank test (χ2)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6F33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3976E6" w:rsidRPr="003976E6" w14:paraId="1C753BEA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AD65" w14:textId="77777777" w:rsidR="003976E6" w:rsidRPr="003976E6" w:rsidRDefault="003976E6" w:rsidP="003976E6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BE74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0.3633</w:t>
            </w:r>
          </w:p>
        </w:tc>
      </w:tr>
      <w:tr w:rsidR="003976E6" w:rsidRPr="003976E6" w14:paraId="1ABF3D15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3654" w14:textId="77777777" w:rsidR="003976E6" w:rsidRPr="003976E6" w:rsidRDefault="003976E6" w:rsidP="003976E6">
            <w:pPr>
              <w:ind w:firstLineChars="100" w:firstLine="2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Stratified Log-rank test (χ2)</w:t>
            </w:r>
          </w:p>
        </w:tc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928CD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3976E6" w:rsidRPr="003976E6" w14:paraId="00FF0724" w14:textId="77777777" w:rsidTr="003976E6">
        <w:trPr>
          <w:trHeight w:val="280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04CE" w14:textId="77777777" w:rsidR="003976E6" w:rsidRPr="003976E6" w:rsidRDefault="003976E6" w:rsidP="003976E6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012D2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0.2602</w:t>
            </w:r>
          </w:p>
        </w:tc>
      </w:tr>
    </w:tbl>
    <w:p w14:paraId="68C3C285" w14:textId="38FA899F" w:rsidR="00DC53C8" w:rsidRPr="00DC53C8" w:rsidRDefault="00686184" w:rsidP="00686184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1F557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Significance: * if p-val &lt;.05; ** if &lt;.01.</w:t>
      </w:r>
    </w:p>
    <w:p w14:paraId="390A5A5C" w14:textId="77777777" w:rsidR="00DC53C8" w:rsidRPr="00DC53C8" w:rsidRDefault="00DC53C8" w:rsidP="00DC53C8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5D39406E" w14:textId="6AE299DF" w:rsidR="00DC53C8" w:rsidRPr="00DC53C8" w:rsidRDefault="009542BB" w:rsidP="00DC53C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sz w:val="20"/>
          <w:szCs w:val="20"/>
        </w:rPr>
        <w:t>Table B</w:t>
      </w:r>
      <w:r w:rsidR="00DC53C8" w:rsidRPr="00DC53C8">
        <w:rPr>
          <w:rFonts w:cs="Arial"/>
          <w:sz w:val="20"/>
          <w:szCs w:val="20"/>
        </w:rPr>
        <w:t>. Results of Cox models at the section level for the ‘skip-a-year’ dataset</w:t>
      </w:r>
      <w:r w:rsidR="0053538F">
        <w:rPr>
          <w:rFonts w:cs="Arial"/>
          <w:sz w:val="20"/>
          <w:szCs w:val="20"/>
        </w:rPr>
        <w:t>.</w:t>
      </w:r>
    </w:p>
    <w:tbl>
      <w:tblPr>
        <w:tblW w:w="7316" w:type="dxa"/>
        <w:tblLayout w:type="fixed"/>
        <w:tblLook w:val="04A0" w:firstRow="1" w:lastRow="0" w:firstColumn="1" w:lastColumn="0" w:noHBand="0" w:noVBand="1"/>
      </w:tblPr>
      <w:tblGrid>
        <w:gridCol w:w="3150"/>
        <w:gridCol w:w="2083"/>
        <w:gridCol w:w="2083"/>
      </w:tblGrid>
      <w:tr w:rsidR="003976E6" w:rsidRPr="003976E6" w14:paraId="4FFEAD86" w14:textId="77777777" w:rsidTr="003976E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40FA" w14:textId="77777777" w:rsidR="003976E6" w:rsidRPr="003976E6" w:rsidRDefault="003976E6" w:rsidP="003976E6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5983A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DC800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332236F2" w14:textId="77777777" w:rsidTr="003976E6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BB87" w14:textId="77777777" w:rsidR="003976E6" w:rsidRPr="003976E6" w:rsidRDefault="003976E6" w:rsidP="003976E6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E1FAE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</w:tr>
      <w:tr w:rsidR="003976E6" w:rsidRPr="003976E6" w14:paraId="42802A42" w14:textId="77777777" w:rsidTr="003976E6">
        <w:trPr>
          <w:trHeight w:val="280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2A87F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PROPORTIONAL HAZARD MODELS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6EE05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6268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 &amp; year</w:t>
            </w:r>
          </w:p>
        </w:tc>
      </w:tr>
      <w:tr w:rsidR="003976E6" w:rsidRPr="003976E6" w14:paraId="7B49DA46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0882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 cox (stratified)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3798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B04A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12A6DB01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B600" w14:textId="73832E5B" w:rsidR="003976E6" w:rsidRPr="003976E6" w:rsidRDefault="003976E6" w:rsidP="003976E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Intervention HR (SD)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0087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 (0.24)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35C7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 (0.234)</w:t>
            </w:r>
          </w:p>
        </w:tc>
      </w:tr>
      <w:tr w:rsidR="003976E6" w:rsidRPr="003976E6" w14:paraId="2538FE29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6252" w14:textId="0A965D50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BD08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9C33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</w:t>
            </w:r>
          </w:p>
        </w:tc>
      </w:tr>
      <w:tr w:rsidR="003976E6" w:rsidRPr="003976E6" w14:paraId="081B5BBC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3620" w14:textId="45866A1A" w:rsidR="003976E6" w:rsidRPr="003976E6" w:rsidRDefault="003976E6" w:rsidP="003976E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year HR (SD)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82B3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A7CD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 (0.043)</w:t>
            </w:r>
          </w:p>
        </w:tc>
      </w:tr>
      <w:tr w:rsidR="003976E6" w:rsidRPr="003976E6" w14:paraId="0C9E6D08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034E" w14:textId="50A14F72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902C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8A6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3976E6" w:rsidRPr="003976E6" w14:paraId="66A020D3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8274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 cox with tvc (stratified)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7EF9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9E057" w14:textId="7777777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6E6" w:rsidRPr="003976E6" w14:paraId="4549904B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39D6" w14:textId="5771A6BF" w:rsidR="003976E6" w:rsidRPr="003976E6" w:rsidRDefault="003976E6" w:rsidP="003976E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Intervention HR (SD)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F91E5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 (0.24)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DF27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 (0.229)</w:t>
            </w:r>
          </w:p>
        </w:tc>
      </w:tr>
      <w:tr w:rsidR="003976E6" w:rsidRPr="003976E6" w14:paraId="7AB8A885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5EC5" w14:textId="3E16E187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D7705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D149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3976E6" w:rsidRPr="003976E6" w14:paraId="3C0171BF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5EFB4" w14:textId="0ED6C05A" w:rsidR="003976E6" w:rsidRPr="003976E6" w:rsidRDefault="003976E6" w:rsidP="003976E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tvc(Intervention) HR (SD)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89C1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(0.009)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A83F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 (0.009)</w:t>
            </w:r>
          </w:p>
        </w:tc>
      </w:tr>
      <w:tr w:rsidR="003976E6" w:rsidRPr="003976E6" w14:paraId="055A4985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85C7" w14:textId="5F9DFB09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F185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4712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3976E6" w:rsidRPr="003976E6" w14:paraId="42A208A0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2DD5" w14:textId="4AB466E7" w:rsidR="003976E6" w:rsidRPr="003976E6" w:rsidRDefault="003976E6" w:rsidP="003976E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976E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year HR (SD)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3F43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C2FC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 (0.043)</w:t>
            </w:r>
          </w:p>
        </w:tc>
      </w:tr>
      <w:tr w:rsidR="003976E6" w:rsidRPr="003976E6" w14:paraId="0A2C7FD5" w14:textId="77777777" w:rsidTr="003976E6">
        <w:trPr>
          <w:trHeight w:val="28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1BC1D" w14:textId="05DC9592" w:rsidR="003976E6" w:rsidRPr="003976E6" w:rsidRDefault="003976E6" w:rsidP="003976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A8424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C5097" w14:textId="77777777" w:rsidR="003976E6" w:rsidRPr="003976E6" w:rsidRDefault="003976E6" w:rsidP="003976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76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</w:tr>
    </w:tbl>
    <w:p w14:paraId="7869A0F6" w14:textId="7E7E6E1A" w:rsidR="00DC53C8" w:rsidRPr="00DC53C8" w:rsidRDefault="00686184" w:rsidP="003976E6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1F557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Significance: * if p-val &lt;.05; ** if &lt;.01.</w:t>
      </w:r>
    </w:p>
    <w:p w14:paraId="0750F7E1" w14:textId="76438921" w:rsidR="00DC53C8" w:rsidRPr="00DC53C8" w:rsidRDefault="001F1E46" w:rsidP="00DC53C8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Table </w:t>
      </w:r>
      <w:r w:rsidR="009542BB">
        <w:rPr>
          <w:rFonts w:cs="Arial"/>
          <w:b/>
          <w:sz w:val="20"/>
          <w:szCs w:val="20"/>
        </w:rPr>
        <w:t>C</w:t>
      </w:r>
      <w:r w:rsidR="00DC53C8" w:rsidRPr="00DC53C8">
        <w:rPr>
          <w:rFonts w:cs="Arial"/>
          <w:sz w:val="20"/>
          <w:szCs w:val="20"/>
        </w:rPr>
        <w:t xml:space="preserve">. Spearman correlation between delay to recurrence and number of wolves killed for depredation events followed by lethal intervention (wolves killed </w:t>
      </w:r>
      <w:r w:rsidR="00DC53C8" w:rsidRPr="00DC53C8">
        <w:rPr>
          <w:rFonts w:cs="Arial"/>
          <w:sz w:val="20"/>
          <w:szCs w:val="20"/>
          <w:u w:val="single"/>
        </w:rPr>
        <w:t>&gt;</w:t>
      </w:r>
      <w:r w:rsidR="00DC53C8" w:rsidRPr="00DC53C8">
        <w:rPr>
          <w:rFonts w:cs="Arial"/>
          <w:sz w:val="20"/>
          <w:szCs w:val="20"/>
        </w:rPr>
        <w:t xml:space="preserve"> 0) at the section level for the ‘skip-a-year’ dataset.</w:t>
      </w:r>
    </w:p>
    <w:tbl>
      <w:tblPr>
        <w:tblW w:w="4050" w:type="dxa"/>
        <w:tblLook w:val="04A0" w:firstRow="1" w:lastRow="0" w:firstColumn="1" w:lastColumn="0" w:noHBand="0" w:noVBand="1"/>
      </w:tblPr>
      <w:tblGrid>
        <w:gridCol w:w="2520"/>
        <w:gridCol w:w="1530"/>
      </w:tblGrid>
      <w:tr w:rsidR="009107D9" w:rsidRPr="009107D9" w14:paraId="7CA31549" w14:textId="77777777" w:rsidTr="009107D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EA3BE" w14:textId="77777777" w:rsidR="009107D9" w:rsidRPr="009107D9" w:rsidRDefault="009107D9" w:rsidP="009107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C7722" w14:textId="77777777" w:rsidR="009107D9" w:rsidRPr="009107D9" w:rsidRDefault="009107D9" w:rsidP="009107D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</w:tr>
      <w:tr w:rsidR="009107D9" w:rsidRPr="009107D9" w14:paraId="2FF954BF" w14:textId="77777777" w:rsidTr="009107D9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8BBB" w14:textId="77777777" w:rsidR="009107D9" w:rsidRPr="009107D9" w:rsidRDefault="009107D9" w:rsidP="009107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Spearman's rho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424C" w14:textId="77777777" w:rsidR="009107D9" w:rsidRPr="009107D9" w:rsidRDefault="009107D9" w:rsidP="009107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0.193</w:t>
            </w:r>
          </w:p>
        </w:tc>
      </w:tr>
      <w:tr w:rsidR="009107D9" w:rsidRPr="009107D9" w14:paraId="77417BE8" w14:textId="77777777" w:rsidTr="009107D9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4F609" w14:textId="77777777" w:rsidR="009107D9" w:rsidRPr="009107D9" w:rsidRDefault="009107D9" w:rsidP="009107D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F7829" w14:textId="77777777" w:rsidR="009107D9" w:rsidRPr="009107D9" w:rsidRDefault="009107D9" w:rsidP="009107D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07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0.3547</w:t>
            </w:r>
          </w:p>
        </w:tc>
      </w:tr>
    </w:tbl>
    <w:p w14:paraId="4842259D" w14:textId="5352D760" w:rsidR="00DC53C8" w:rsidRPr="00DC53C8" w:rsidRDefault="00686184" w:rsidP="003976E6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1F557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Significance: * if p-val &lt;.05; ** if &lt;.01.</w:t>
      </w:r>
    </w:p>
    <w:p w14:paraId="2CA9DEB0" w14:textId="77777777" w:rsidR="00580F4B" w:rsidRDefault="00AD43EB"/>
    <w:sectPr w:rsidR="00580F4B" w:rsidSect="00857F3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C0D9" w14:textId="77777777" w:rsidR="00AD43EB" w:rsidRDefault="00AD43EB" w:rsidP="00DC53C8">
      <w:r>
        <w:separator/>
      </w:r>
    </w:p>
  </w:endnote>
  <w:endnote w:type="continuationSeparator" w:id="0">
    <w:p w14:paraId="01E672AB" w14:textId="77777777" w:rsidR="00AD43EB" w:rsidRDefault="00AD43EB" w:rsidP="00D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F0BA" w14:textId="77777777" w:rsidR="00AD43EB" w:rsidRDefault="00AD43EB" w:rsidP="00DC53C8">
      <w:r>
        <w:separator/>
      </w:r>
    </w:p>
  </w:footnote>
  <w:footnote w:type="continuationSeparator" w:id="0">
    <w:p w14:paraId="3FB569C4" w14:textId="77777777" w:rsidR="00AD43EB" w:rsidRDefault="00AD43EB" w:rsidP="00DC53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582C5" w14:textId="77777777" w:rsidR="001E6FFF" w:rsidRDefault="001E6FFF" w:rsidP="004452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6B2F5" w14:textId="77777777" w:rsidR="001E6FFF" w:rsidRDefault="001E6FFF" w:rsidP="001E6FF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D43E" w14:textId="77777777" w:rsidR="001E6FFF" w:rsidRPr="001E6FFF" w:rsidRDefault="001E6FFF" w:rsidP="00445232">
    <w:pPr>
      <w:pStyle w:val="Header"/>
      <w:framePr w:wrap="none" w:vAnchor="text" w:hAnchor="margin" w:xAlign="right" w:y="1"/>
      <w:rPr>
        <w:rStyle w:val="PageNumber"/>
        <w:rFonts w:ascii="Cambria" w:hAnsi="Cambria"/>
        <w:i/>
        <w:sz w:val="20"/>
        <w:szCs w:val="20"/>
      </w:rPr>
    </w:pPr>
    <w:r w:rsidRPr="001E6FFF">
      <w:rPr>
        <w:rStyle w:val="PageNumber"/>
        <w:rFonts w:ascii="Cambria" w:hAnsi="Cambria"/>
        <w:i/>
        <w:sz w:val="20"/>
        <w:szCs w:val="20"/>
      </w:rPr>
      <w:fldChar w:fldCharType="begin"/>
    </w:r>
    <w:r w:rsidRPr="001E6FFF">
      <w:rPr>
        <w:rStyle w:val="PageNumber"/>
        <w:rFonts w:ascii="Cambria" w:hAnsi="Cambria"/>
        <w:i/>
        <w:sz w:val="20"/>
        <w:szCs w:val="20"/>
      </w:rPr>
      <w:instrText xml:space="preserve">PAGE  </w:instrText>
    </w:r>
    <w:r w:rsidRPr="001E6FFF">
      <w:rPr>
        <w:rStyle w:val="PageNumber"/>
        <w:rFonts w:ascii="Cambria" w:hAnsi="Cambria"/>
        <w:i/>
        <w:sz w:val="20"/>
        <w:szCs w:val="20"/>
      </w:rPr>
      <w:fldChar w:fldCharType="separate"/>
    </w:r>
    <w:r w:rsidR="00AD43EB">
      <w:rPr>
        <w:rStyle w:val="PageNumber"/>
        <w:rFonts w:ascii="Cambria" w:hAnsi="Cambria"/>
        <w:i/>
        <w:noProof/>
        <w:sz w:val="20"/>
        <w:szCs w:val="20"/>
      </w:rPr>
      <w:t>1</w:t>
    </w:r>
    <w:r w:rsidRPr="001E6FFF">
      <w:rPr>
        <w:rStyle w:val="PageNumber"/>
        <w:rFonts w:ascii="Cambria" w:hAnsi="Cambria"/>
        <w:i/>
        <w:sz w:val="20"/>
        <w:szCs w:val="20"/>
      </w:rPr>
      <w:fldChar w:fldCharType="end"/>
    </w:r>
  </w:p>
  <w:p w14:paraId="1A264FC7" w14:textId="67080025" w:rsidR="001E6FFF" w:rsidRPr="001E6FFF" w:rsidRDefault="001E6FFF" w:rsidP="001E6FFF">
    <w:pPr>
      <w:pStyle w:val="Header"/>
      <w:ind w:right="360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Killing wolves </w:t>
    </w:r>
    <w:r w:rsidR="00686184">
      <w:rPr>
        <w:rFonts w:ascii="Cambria" w:hAnsi="Cambria"/>
        <w:i/>
        <w:sz w:val="20"/>
        <w:szCs w:val="20"/>
      </w:rPr>
      <w:t>S</w:t>
    </w:r>
    <w:r>
      <w:rPr>
        <w:rFonts w:ascii="Cambria" w:hAnsi="Cambria"/>
        <w:i/>
        <w:sz w:val="20"/>
        <w:szCs w:val="20"/>
      </w:rPr>
      <w:t>5</w:t>
    </w:r>
    <w:r w:rsidR="00686184">
      <w:rPr>
        <w:rFonts w:ascii="Cambria" w:hAnsi="Cambria"/>
        <w:i/>
        <w:sz w:val="20"/>
        <w:szCs w:val="20"/>
      </w:rPr>
      <w:t xml:space="preserve"> File</w:t>
    </w:r>
    <w:r>
      <w:rPr>
        <w:rFonts w:ascii="Cambria" w:hAnsi="Cambria"/>
        <w:i/>
        <w:sz w:val="20"/>
        <w:szCs w:val="20"/>
      </w:rPr>
      <w:t>, 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C8"/>
    <w:rsid w:val="000004E8"/>
    <w:rsid w:val="00012D8F"/>
    <w:rsid w:val="00025B5C"/>
    <w:rsid w:val="000747DE"/>
    <w:rsid w:val="00076D18"/>
    <w:rsid w:val="00093831"/>
    <w:rsid w:val="000A737A"/>
    <w:rsid w:val="00101ABA"/>
    <w:rsid w:val="00106825"/>
    <w:rsid w:val="00115D4B"/>
    <w:rsid w:val="00117D21"/>
    <w:rsid w:val="00184974"/>
    <w:rsid w:val="001B26B6"/>
    <w:rsid w:val="001D4444"/>
    <w:rsid w:val="001E6FFF"/>
    <w:rsid w:val="001F1E46"/>
    <w:rsid w:val="002209A7"/>
    <w:rsid w:val="00237F8B"/>
    <w:rsid w:val="00265114"/>
    <w:rsid w:val="0028103B"/>
    <w:rsid w:val="00315A5D"/>
    <w:rsid w:val="00331949"/>
    <w:rsid w:val="00353830"/>
    <w:rsid w:val="003976E6"/>
    <w:rsid w:val="003A05B7"/>
    <w:rsid w:val="003D05DA"/>
    <w:rsid w:val="003D2499"/>
    <w:rsid w:val="00400623"/>
    <w:rsid w:val="00431953"/>
    <w:rsid w:val="004847DD"/>
    <w:rsid w:val="0049570A"/>
    <w:rsid w:val="00496136"/>
    <w:rsid w:val="004E7764"/>
    <w:rsid w:val="004F64C1"/>
    <w:rsid w:val="00530CDD"/>
    <w:rsid w:val="0053538F"/>
    <w:rsid w:val="00547386"/>
    <w:rsid w:val="00571D34"/>
    <w:rsid w:val="00604280"/>
    <w:rsid w:val="00640038"/>
    <w:rsid w:val="006428AD"/>
    <w:rsid w:val="006565BB"/>
    <w:rsid w:val="0067643D"/>
    <w:rsid w:val="00686184"/>
    <w:rsid w:val="00687256"/>
    <w:rsid w:val="00687D7C"/>
    <w:rsid w:val="006D5D4B"/>
    <w:rsid w:val="006E0988"/>
    <w:rsid w:val="00706B39"/>
    <w:rsid w:val="0072142A"/>
    <w:rsid w:val="00736A0A"/>
    <w:rsid w:val="00753207"/>
    <w:rsid w:val="00753787"/>
    <w:rsid w:val="007723AE"/>
    <w:rsid w:val="007932C5"/>
    <w:rsid w:val="007C2601"/>
    <w:rsid w:val="007E6DF3"/>
    <w:rsid w:val="00813776"/>
    <w:rsid w:val="00857F33"/>
    <w:rsid w:val="00897000"/>
    <w:rsid w:val="008C1D4F"/>
    <w:rsid w:val="008D6791"/>
    <w:rsid w:val="009107D9"/>
    <w:rsid w:val="00913B1D"/>
    <w:rsid w:val="009542BB"/>
    <w:rsid w:val="009A18E2"/>
    <w:rsid w:val="009C1DB4"/>
    <w:rsid w:val="009C3D7C"/>
    <w:rsid w:val="009D244A"/>
    <w:rsid w:val="009E76B3"/>
    <w:rsid w:val="009F62D7"/>
    <w:rsid w:val="00A010A1"/>
    <w:rsid w:val="00A40F9C"/>
    <w:rsid w:val="00A47550"/>
    <w:rsid w:val="00A52D6D"/>
    <w:rsid w:val="00A54A56"/>
    <w:rsid w:val="00AC03F1"/>
    <w:rsid w:val="00AD43EB"/>
    <w:rsid w:val="00B21E13"/>
    <w:rsid w:val="00B255B9"/>
    <w:rsid w:val="00B552C0"/>
    <w:rsid w:val="00B665BA"/>
    <w:rsid w:val="00B9144E"/>
    <w:rsid w:val="00C60152"/>
    <w:rsid w:val="00D1196C"/>
    <w:rsid w:val="00D31ACF"/>
    <w:rsid w:val="00D5199F"/>
    <w:rsid w:val="00D52342"/>
    <w:rsid w:val="00D92B28"/>
    <w:rsid w:val="00DC4393"/>
    <w:rsid w:val="00DC53C8"/>
    <w:rsid w:val="00DD3D94"/>
    <w:rsid w:val="00E3020E"/>
    <w:rsid w:val="00E85EEB"/>
    <w:rsid w:val="00E92394"/>
    <w:rsid w:val="00EA5E02"/>
    <w:rsid w:val="00EB45F9"/>
    <w:rsid w:val="00EC4D9B"/>
    <w:rsid w:val="00EC594D"/>
    <w:rsid w:val="00EE1158"/>
    <w:rsid w:val="00EF46A3"/>
    <w:rsid w:val="00EF67DF"/>
    <w:rsid w:val="00F82615"/>
    <w:rsid w:val="00FB0E9B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7E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F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F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E6FFF"/>
  </w:style>
  <w:style w:type="character" w:styleId="Hyperlink">
    <w:name w:val="Hyperlink"/>
    <w:basedOn w:val="DefaultParagraphFont"/>
    <w:uiPriority w:val="99"/>
    <w:unhideWhenUsed/>
    <w:rsid w:val="004F64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D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live.com/news/index.ssf/2013/11/john_koski_part_1_tour_the_far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S5 File: Results for ‘skip-a-year’ dataset and outlier exclusion</vt:lpstr>
      <vt:lpstr>Below we present results for our alternate ‘skip-a-year’ dataset for the sectio</vt:lpstr>
      <vt:lpstr>Consistent with our main and supplementary analyses, log rank tests could not d</vt:lpstr>
      <vt:lpstr>Additionally, we ran our tests on the dataset excluding one outlier farm which </vt:lpstr>
      <vt:lpstr/>
      <vt:lpstr/>
    </vt:vector>
  </TitlesOfParts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Santiago-Avila</dc:creator>
  <cp:keywords/>
  <dc:description/>
  <cp:lastModifiedBy>Francisco J. Santiago-Avila</cp:lastModifiedBy>
  <cp:revision>4</cp:revision>
  <cp:lastPrinted>2017-12-05T16:18:00Z</cp:lastPrinted>
  <dcterms:created xsi:type="dcterms:W3CDTF">2017-12-06T20:18:00Z</dcterms:created>
  <dcterms:modified xsi:type="dcterms:W3CDTF">2017-12-12T14:31:00Z</dcterms:modified>
</cp:coreProperties>
</file>