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CCF7F" w14:textId="2792395E" w:rsidR="0082228B" w:rsidRPr="00AD5F94" w:rsidRDefault="00D24D84" w:rsidP="0082228B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S1 </w:t>
      </w:r>
      <w:r w:rsidR="002C0A34" w:rsidRPr="00AD5F94">
        <w:rPr>
          <w:rFonts w:ascii="Arial" w:hAnsi="Arial" w:cs="Arial"/>
          <w:b/>
          <w:sz w:val="22"/>
          <w:szCs w:val="22"/>
        </w:rPr>
        <w:t>Table</w:t>
      </w:r>
      <w:r w:rsidR="0082228B" w:rsidRPr="00AD5F94">
        <w:rPr>
          <w:rFonts w:ascii="Arial" w:hAnsi="Arial" w:cs="Arial"/>
          <w:b/>
          <w:sz w:val="22"/>
          <w:szCs w:val="22"/>
        </w:rPr>
        <w:t>: Results for post-hoc tests examining effect of selected environment factor on walking and moderate physical activity</w:t>
      </w:r>
    </w:p>
    <w:tbl>
      <w:tblPr>
        <w:tblStyle w:val="TableGrid"/>
        <w:tblW w:w="13189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788"/>
        <w:gridCol w:w="3969"/>
        <w:gridCol w:w="709"/>
        <w:gridCol w:w="1275"/>
        <w:gridCol w:w="709"/>
        <w:gridCol w:w="851"/>
        <w:gridCol w:w="1417"/>
        <w:gridCol w:w="709"/>
      </w:tblGrid>
      <w:tr w:rsidR="0082228B" w:rsidRPr="004528B6" w14:paraId="7A8ACB93" w14:textId="77777777" w:rsidTr="0057504D">
        <w:trPr>
          <w:trHeight w:val="278"/>
        </w:trPr>
        <w:tc>
          <w:tcPr>
            <w:tcW w:w="2762" w:type="dxa"/>
            <w:tcBorders>
              <w:top w:val="single" w:sz="4" w:space="0" w:color="auto"/>
            </w:tcBorders>
          </w:tcPr>
          <w:p w14:paraId="3C90E59F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Stratification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1DC5DE3A" w14:textId="77777777" w:rsidR="0082228B" w:rsidRPr="004528B6" w:rsidRDefault="0082228B" w:rsidP="005750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4AEB2C43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Exposure factor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14:paraId="3B0DF456" w14:textId="77777777" w:rsidR="0082228B" w:rsidRPr="004528B6" w:rsidRDefault="0082228B" w:rsidP="0057504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Walking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14:paraId="21635399" w14:textId="77777777" w:rsidR="0082228B" w:rsidRPr="004528B6" w:rsidRDefault="0082228B" w:rsidP="0057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MPA</w:t>
            </w:r>
          </w:p>
        </w:tc>
      </w:tr>
      <w:tr w:rsidR="0082228B" w:rsidRPr="004528B6" w14:paraId="2827D314" w14:textId="77777777" w:rsidTr="0057504D">
        <w:tc>
          <w:tcPr>
            <w:tcW w:w="2762" w:type="dxa"/>
            <w:tcBorders>
              <w:bottom w:val="single" w:sz="4" w:space="0" w:color="auto"/>
            </w:tcBorders>
          </w:tcPr>
          <w:p w14:paraId="39B0D30B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4F9D2496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5A91754B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4DA02E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206C7B2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709" w:type="dxa"/>
          </w:tcPr>
          <w:p w14:paraId="6927E056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D639EE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792E82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FA2344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82228B" w:rsidRPr="004528B6" w14:paraId="6F63AD07" w14:textId="77777777" w:rsidTr="0057504D">
        <w:tc>
          <w:tcPr>
            <w:tcW w:w="2762" w:type="dxa"/>
            <w:tcBorders>
              <w:top w:val="single" w:sz="4" w:space="0" w:color="auto"/>
            </w:tcBorders>
          </w:tcPr>
          <w:p w14:paraId="1AD964E9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4528B6">
              <w:rPr>
                <w:rFonts w:ascii="Arial" w:hAnsi="Arial" w:cs="Arial"/>
                <w:sz w:val="20"/>
                <w:szCs w:val="20"/>
              </w:rPr>
              <w:t>Trust and empowerment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  <w:p w14:paraId="2100EC6E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Lower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3B7AEAC3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528B6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58D1A85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‘Aesthetics &amp; maintenance of open space’</w:t>
            </w:r>
          </w:p>
          <w:p w14:paraId="413F5ECC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Lower</w:t>
            </w:r>
          </w:p>
          <w:p w14:paraId="372482F7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Higher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EC102D1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5D189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179444CC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E1FF949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B41AF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39A16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0.68 – 1.04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93B0AB7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70EAF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B2140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.109</w:t>
            </w:r>
          </w:p>
        </w:tc>
        <w:tc>
          <w:tcPr>
            <w:tcW w:w="851" w:type="dxa"/>
          </w:tcPr>
          <w:p w14:paraId="6E574746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63D05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786FB491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06F1104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CA77C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22293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0.78 – 1.27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2555C36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F524B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C4D672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.984</w:t>
            </w:r>
          </w:p>
        </w:tc>
      </w:tr>
      <w:tr w:rsidR="0082228B" w:rsidRPr="004528B6" w14:paraId="796361B6" w14:textId="77777777" w:rsidTr="0057504D">
        <w:trPr>
          <w:trHeight w:val="769"/>
        </w:trPr>
        <w:tc>
          <w:tcPr>
            <w:tcW w:w="2762" w:type="dxa"/>
          </w:tcPr>
          <w:p w14:paraId="5DF1C8AC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4528B6">
              <w:rPr>
                <w:rFonts w:ascii="Arial" w:hAnsi="Arial" w:cs="Arial"/>
                <w:sz w:val="20"/>
                <w:szCs w:val="20"/>
              </w:rPr>
              <w:t>Trust and empowerment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  <w:p w14:paraId="1FAC5450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Higher</w:t>
            </w:r>
          </w:p>
        </w:tc>
        <w:tc>
          <w:tcPr>
            <w:tcW w:w="788" w:type="dxa"/>
          </w:tcPr>
          <w:p w14:paraId="312B5522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528B6">
              <w:rPr>
                <w:rFonts w:ascii="Arial" w:hAnsi="Arial" w:cs="Arial"/>
                <w:sz w:val="20"/>
                <w:szCs w:val="20"/>
              </w:rPr>
              <w:t>093</w:t>
            </w:r>
          </w:p>
        </w:tc>
        <w:tc>
          <w:tcPr>
            <w:tcW w:w="3969" w:type="dxa"/>
          </w:tcPr>
          <w:p w14:paraId="666DCB8C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‘Aesthetics &amp; maintenance of open space’</w:t>
            </w:r>
          </w:p>
          <w:p w14:paraId="1D269DAB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Lower</w:t>
            </w:r>
          </w:p>
          <w:p w14:paraId="6D7B5A7F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Higher</w:t>
            </w:r>
          </w:p>
        </w:tc>
        <w:tc>
          <w:tcPr>
            <w:tcW w:w="709" w:type="dxa"/>
          </w:tcPr>
          <w:p w14:paraId="304BAEE0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0A136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7BB58CA6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1275" w:type="dxa"/>
          </w:tcPr>
          <w:p w14:paraId="7EE1BC0E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859C0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7ED8C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1.70 – 2.64</w:t>
            </w:r>
          </w:p>
        </w:tc>
        <w:tc>
          <w:tcPr>
            <w:tcW w:w="709" w:type="dxa"/>
          </w:tcPr>
          <w:p w14:paraId="7D80E2AE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530B6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A8791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8B6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</w:tc>
        <w:tc>
          <w:tcPr>
            <w:tcW w:w="851" w:type="dxa"/>
          </w:tcPr>
          <w:p w14:paraId="6D1F8A28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4217B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2F855CC0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1.47</w:t>
            </w:r>
          </w:p>
        </w:tc>
        <w:tc>
          <w:tcPr>
            <w:tcW w:w="1417" w:type="dxa"/>
          </w:tcPr>
          <w:p w14:paraId="2A440F56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D2B10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9CFF7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1.15 – 1.87</w:t>
            </w:r>
          </w:p>
        </w:tc>
        <w:tc>
          <w:tcPr>
            <w:tcW w:w="709" w:type="dxa"/>
          </w:tcPr>
          <w:p w14:paraId="18EC17B1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5966D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8A51E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8B6">
              <w:rPr>
                <w:rFonts w:ascii="Arial" w:hAnsi="Arial" w:cs="Arial"/>
                <w:b/>
                <w:sz w:val="20"/>
                <w:szCs w:val="20"/>
              </w:rPr>
              <w:t>.002</w:t>
            </w:r>
          </w:p>
        </w:tc>
      </w:tr>
      <w:tr w:rsidR="0082228B" w:rsidRPr="004528B6" w14:paraId="345B1BF8" w14:textId="77777777" w:rsidTr="0057504D">
        <w:trPr>
          <w:trHeight w:val="792"/>
        </w:trPr>
        <w:tc>
          <w:tcPr>
            <w:tcW w:w="2762" w:type="dxa"/>
          </w:tcPr>
          <w:p w14:paraId="74A87FF2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‘Aesthetics &amp; maintenance of open space’</w:t>
            </w:r>
          </w:p>
          <w:p w14:paraId="7F41586D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Poorer</w:t>
            </w:r>
          </w:p>
        </w:tc>
        <w:tc>
          <w:tcPr>
            <w:tcW w:w="788" w:type="dxa"/>
          </w:tcPr>
          <w:p w14:paraId="08EA54FF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528B6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3969" w:type="dxa"/>
          </w:tcPr>
          <w:p w14:paraId="20CB76CE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‘Trust and empowerment’</w:t>
            </w:r>
          </w:p>
          <w:p w14:paraId="38999135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Lower</w:t>
            </w:r>
          </w:p>
          <w:p w14:paraId="766465F5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Higher</w:t>
            </w:r>
          </w:p>
        </w:tc>
        <w:tc>
          <w:tcPr>
            <w:tcW w:w="709" w:type="dxa"/>
          </w:tcPr>
          <w:p w14:paraId="04A861B1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8762D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219A8300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1275" w:type="dxa"/>
          </w:tcPr>
          <w:p w14:paraId="3FA06AFF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583DE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09D37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0.62 – 0.94</w:t>
            </w:r>
          </w:p>
        </w:tc>
        <w:tc>
          <w:tcPr>
            <w:tcW w:w="709" w:type="dxa"/>
          </w:tcPr>
          <w:p w14:paraId="006BF7FD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55071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BBED58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.012</w:t>
            </w:r>
          </w:p>
        </w:tc>
        <w:tc>
          <w:tcPr>
            <w:tcW w:w="851" w:type="dxa"/>
          </w:tcPr>
          <w:p w14:paraId="318D3CA9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CE442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10AD68AF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1417" w:type="dxa"/>
          </w:tcPr>
          <w:p w14:paraId="6795B798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B140FF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75D5D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0.68 – 1.13</w:t>
            </w:r>
          </w:p>
        </w:tc>
        <w:tc>
          <w:tcPr>
            <w:tcW w:w="709" w:type="dxa"/>
          </w:tcPr>
          <w:p w14:paraId="176593D3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E4D3BB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9B6AC1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.311</w:t>
            </w:r>
          </w:p>
        </w:tc>
      </w:tr>
      <w:tr w:rsidR="0082228B" w:rsidRPr="004528B6" w14:paraId="36E62CD1" w14:textId="77777777" w:rsidTr="0057504D">
        <w:trPr>
          <w:trHeight w:val="802"/>
        </w:trPr>
        <w:tc>
          <w:tcPr>
            <w:tcW w:w="2762" w:type="dxa"/>
          </w:tcPr>
          <w:p w14:paraId="264CD93B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‘Aesthetics &amp; maintenance of open space’</w:t>
            </w:r>
          </w:p>
          <w:p w14:paraId="6D3661A1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Better</w:t>
            </w:r>
          </w:p>
        </w:tc>
        <w:tc>
          <w:tcPr>
            <w:tcW w:w="788" w:type="dxa"/>
          </w:tcPr>
          <w:p w14:paraId="5A4C5C57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528B6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3969" w:type="dxa"/>
          </w:tcPr>
          <w:p w14:paraId="3E7F6360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‘Trust and empowerment’</w:t>
            </w:r>
          </w:p>
          <w:p w14:paraId="381437B0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Lower</w:t>
            </w:r>
          </w:p>
          <w:p w14:paraId="7AA91E4B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Higher</w:t>
            </w:r>
          </w:p>
        </w:tc>
        <w:tc>
          <w:tcPr>
            <w:tcW w:w="709" w:type="dxa"/>
          </w:tcPr>
          <w:p w14:paraId="44FC2EC3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AD113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63537E65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1.52</w:t>
            </w:r>
          </w:p>
        </w:tc>
        <w:tc>
          <w:tcPr>
            <w:tcW w:w="1275" w:type="dxa"/>
          </w:tcPr>
          <w:p w14:paraId="1524E740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82DB5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E6014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1.30 – 1.77</w:t>
            </w:r>
          </w:p>
        </w:tc>
        <w:tc>
          <w:tcPr>
            <w:tcW w:w="709" w:type="dxa"/>
          </w:tcPr>
          <w:p w14:paraId="7E08CB9C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7812B0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71BCE2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8B6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</w:tc>
        <w:tc>
          <w:tcPr>
            <w:tcW w:w="851" w:type="dxa"/>
          </w:tcPr>
          <w:p w14:paraId="7D6806DC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C212E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09F1B3E9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  <w:tc>
          <w:tcPr>
            <w:tcW w:w="1417" w:type="dxa"/>
          </w:tcPr>
          <w:p w14:paraId="188FAF17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CB6BB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3B18AC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1.08 – 1.54</w:t>
            </w:r>
          </w:p>
        </w:tc>
        <w:tc>
          <w:tcPr>
            <w:tcW w:w="709" w:type="dxa"/>
          </w:tcPr>
          <w:p w14:paraId="4D2E582C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F97A16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CD5943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8B6">
              <w:rPr>
                <w:rFonts w:ascii="Arial" w:hAnsi="Arial" w:cs="Arial"/>
                <w:b/>
                <w:sz w:val="20"/>
                <w:szCs w:val="20"/>
              </w:rPr>
              <w:t>.004</w:t>
            </w:r>
          </w:p>
        </w:tc>
      </w:tr>
      <w:tr w:rsidR="0082228B" w:rsidRPr="004528B6" w14:paraId="36090C4B" w14:textId="77777777" w:rsidTr="0057504D">
        <w:tc>
          <w:tcPr>
            <w:tcW w:w="2762" w:type="dxa"/>
          </w:tcPr>
          <w:p w14:paraId="375220B9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4528B6">
              <w:rPr>
                <w:rFonts w:ascii="Arial" w:hAnsi="Arial" w:cs="Arial"/>
                <w:sz w:val="20"/>
                <w:szCs w:val="20"/>
              </w:rPr>
              <w:t>Cohesion and safety’</w:t>
            </w:r>
          </w:p>
          <w:p w14:paraId="64BE2808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Lower</w:t>
            </w:r>
          </w:p>
        </w:tc>
        <w:tc>
          <w:tcPr>
            <w:tcW w:w="788" w:type="dxa"/>
          </w:tcPr>
          <w:p w14:paraId="6E12980A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528B6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3969" w:type="dxa"/>
          </w:tcPr>
          <w:p w14:paraId="5A5FAF5E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‘Physical disorder’</w:t>
            </w:r>
          </w:p>
          <w:p w14:paraId="23D78D2E" w14:textId="70CA4FAE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2186">
              <w:rPr>
                <w:rFonts w:ascii="Arial" w:hAnsi="Arial" w:cs="Arial"/>
                <w:sz w:val="20"/>
                <w:szCs w:val="20"/>
              </w:rPr>
              <w:t>More</w:t>
            </w:r>
          </w:p>
          <w:p w14:paraId="1F4FE3FF" w14:textId="0792F87C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2186">
              <w:rPr>
                <w:rFonts w:ascii="Arial" w:hAnsi="Arial" w:cs="Arial"/>
                <w:sz w:val="20"/>
                <w:szCs w:val="20"/>
              </w:rPr>
              <w:t>Few</w:t>
            </w:r>
            <w:r w:rsidRPr="004528B6">
              <w:rPr>
                <w:rFonts w:ascii="Arial" w:hAnsi="Arial" w:cs="Arial"/>
                <w:sz w:val="20"/>
                <w:szCs w:val="20"/>
              </w:rPr>
              <w:t>er</w:t>
            </w:r>
          </w:p>
          <w:p w14:paraId="56EA6FA6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CA0E1D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C746F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0B5B9095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1275" w:type="dxa"/>
          </w:tcPr>
          <w:p w14:paraId="52C657D4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44698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5023E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0.85 – 1.41</w:t>
            </w:r>
          </w:p>
        </w:tc>
        <w:tc>
          <w:tcPr>
            <w:tcW w:w="709" w:type="dxa"/>
          </w:tcPr>
          <w:p w14:paraId="6B23FA3C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3B76C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08C2A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.484</w:t>
            </w:r>
          </w:p>
        </w:tc>
        <w:tc>
          <w:tcPr>
            <w:tcW w:w="851" w:type="dxa"/>
          </w:tcPr>
          <w:p w14:paraId="4F6E109B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FF2FC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63997DDE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1417" w:type="dxa"/>
          </w:tcPr>
          <w:p w14:paraId="127EA310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2687E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F6EC8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0.85 – 1.41</w:t>
            </w:r>
          </w:p>
        </w:tc>
        <w:tc>
          <w:tcPr>
            <w:tcW w:w="709" w:type="dxa"/>
          </w:tcPr>
          <w:p w14:paraId="5239D3A9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9CE8B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55D4C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.484</w:t>
            </w:r>
          </w:p>
        </w:tc>
      </w:tr>
      <w:tr w:rsidR="0082228B" w:rsidRPr="004528B6" w14:paraId="60CEDAEF" w14:textId="77777777" w:rsidTr="0057504D">
        <w:trPr>
          <w:trHeight w:val="744"/>
        </w:trPr>
        <w:tc>
          <w:tcPr>
            <w:tcW w:w="2762" w:type="dxa"/>
          </w:tcPr>
          <w:p w14:paraId="1429715D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4528B6">
              <w:rPr>
                <w:rFonts w:ascii="Arial" w:hAnsi="Arial" w:cs="Arial"/>
                <w:sz w:val="20"/>
                <w:szCs w:val="20"/>
              </w:rPr>
              <w:t>Cohesion and safety’</w:t>
            </w:r>
          </w:p>
          <w:p w14:paraId="14EEC7A4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Higher</w:t>
            </w:r>
          </w:p>
        </w:tc>
        <w:tc>
          <w:tcPr>
            <w:tcW w:w="788" w:type="dxa"/>
          </w:tcPr>
          <w:p w14:paraId="276DA3AA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528B6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3969" w:type="dxa"/>
          </w:tcPr>
          <w:p w14:paraId="342C765E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‘Physical disorder’</w:t>
            </w:r>
          </w:p>
          <w:p w14:paraId="28C5C42C" w14:textId="078D4A22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2186">
              <w:rPr>
                <w:rFonts w:ascii="Arial" w:hAnsi="Arial" w:cs="Arial"/>
                <w:sz w:val="20"/>
                <w:szCs w:val="20"/>
              </w:rPr>
              <w:t>More</w:t>
            </w:r>
          </w:p>
          <w:p w14:paraId="4603A586" w14:textId="583872E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2186">
              <w:rPr>
                <w:rFonts w:ascii="Arial" w:hAnsi="Arial" w:cs="Arial"/>
                <w:sz w:val="20"/>
                <w:szCs w:val="20"/>
              </w:rPr>
              <w:t>Fewer</w:t>
            </w:r>
          </w:p>
        </w:tc>
        <w:tc>
          <w:tcPr>
            <w:tcW w:w="709" w:type="dxa"/>
          </w:tcPr>
          <w:p w14:paraId="14F1E1D8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1DEFB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11840FEA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  <w:tc>
          <w:tcPr>
            <w:tcW w:w="1275" w:type="dxa"/>
          </w:tcPr>
          <w:p w14:paraId="1263377D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461B9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5A93B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1.20 – 1.86</w:t>
            </w:r>
          </w:p>
        </w:tc>
        <w:tc>
          <w:tcPr>
            <w:tcW w:w="709" w:type="dxa"/>
          </w:tcPr>
          <w:p w14:paraId="40AA3106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2795EF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AFDB18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8B6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</w:tc>
        <w:tc>
          <w:tcPr>
            <w:tcW w:w="851" w:type="dxa"/>
          </w:tcPr>
          <w:p w14:paraId="76752FC9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72CD5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763F8FC3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  <w:tc>
          <w:tcPr>
            <w:tcW w:w="1417" w:type="dxa"/>
          </w:tcPr>
          <w:p w14:paraId="7F7B285E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89A28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EBBAF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1.20 – 1.86</w:t>
            </w:r>
          </w:p>
        </w:tc>
        <w:tc>
          <w:tcPr>
            <w:tcW w:w="709" w:type="dxa"/>
          </w:tcPr>
          <w:p w14:paraId="1A030989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9181E6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30FFB7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8B6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</w:tc>
      </w:tr>
      <w:tr w:rsidR="0082228B" w:rsidRPr="004528B6" w14:paraId="14516560" w14:textId="77777777" w:rsidTr="0057504D">
        <w:trPr>
          <w:trHeight w:val="840"/>
        </w:trPr>
        <w:tc>
          <w:tcPr>
            <w:tcW w:w="2762" w:type="dxa"/>
          </w:tcPr>
          <w:p w14:paraId="7AB1E4C1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‘Physical disorder’</w:t>
            </w:r>
          </w:p>
          <w:p w14:paraId="15A1A977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More cues</w:t>
            </w:r>
          </w:p>
        </w:tc>
        <w:tc>
          <w:tcPr>
            <w:tcW w:w="788" w:type="dxa"/>
          </w:tcPr>
          <w:p w14:paraId="75EEFCB0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528B6"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3969" w:type="dxa"/>
          </w:tcPr>
          <w:p w14:paraId="6C60F08F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‘Cohesion and safety’</w:t>
            </w:r>
          </w:p>
          <w:p w14:paraId="5DF98B45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Lower</w:t>
            </w:r>
          </w:p>
          <w:p w14:paraId="4960B081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Higher</w:t>
            </w:r>
          </w:p>
        </w:tc>
        <w:tc>
          <w:tcPr>
            <w:tcW w:w="709" w:type="dxa"/>
          </w:tcPr>
          <w:p w14:paraId="1D6027EC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84129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45186CC1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1.58</w:t>
            </w:r>
          </w:p>
        </w:tc>
        <w:tc>
          <w:tcPr>
            <w:tcW w:w="1275" w:type="dxa"/>
          </w:tcPr>
          <w:p w14:paraId="5510FE0E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EF460B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EB724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1.31 – 1.91</w:t>
            </w:r>
          </w:p>
        </w:tc>
        <w:tc>
          <w:tcPr>
            <w:tcW w:w="709" w:type="dxa"/>
          </w:tcPr>
          <w:p w14:paraId="29A49AD3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D453B7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C6843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8B6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</w:tc>
        <w:tc>
          <w:tcPr>
            <w:tcW w:w="851" w:type="dxa"/>
          </w:tcPr>
          <w:p w14:paraId="4158AD31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900A4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489A487A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1.58</w:t>
            </w:r>
          </w:p>
        </w:tc>
        <w:tc>
          <w:tcPr>
            <w:tcW w:w="1417" w:type="dxa"/>
          </w:tcPr>
          <w:p w14:paraId="61DB534D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179FCB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9FB06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1.31 – 1.91</w:t>
            </w:r>
          </w:p>
        </w:tc>
        <w:tc>
          <w:tcPr>
            <w:tcW w:w="709" w:type="dxa"/>
          </w:tcPr>
          <w:p w14:paraId="6DFFEB92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D2A71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1E1D4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8B6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</w:tc>
      </w:tr>
      <w:tr w:rsidR="0082228B" w:rsidRPr="004528B6" w14:paraId="62504BE7" w14:textId="77777777" w:rsidTr="0057504D">
        <w:trPr>
          <w:trHeight w:val="782"/>
        </w:trPr>
        <w:tc>
          <w:tcPr>
            <w:tcW w:w="2762" w:type="dxa"/>
          </w:tcPr>
          <w:p w14:paraId="11AAC1CF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‘Physical disorder’</w:t>
            </w:r>
          </w:p>
          <w:p w14:paraId="5ED9E2F0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Fewer cues</w:t>
            </w:r>
          </w:p>
        </w:tc>
        <w:tc>
          <w:tcPr>
            <w:tcW w:w="788" w:type="dxa"/>
          </w:tcPr>
          <w:p w14:paraId="67E3E8A0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528B6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3969" w:type="dxa"/>
          </w:tcPr>
          <w:p w14:paraId="2D60415B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‘Cohesion and safety’</w:t>
            </w:r>
          </w:p>
          <w:p w14:paraId="60B803DE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Lower</w:t>
            </w:r>
          </w:p>
          <w:p w14:paraId="0E794440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Higher</w:t>
            </w:r>
          </w:p>
        </w:tc>
        <w:tc>
          <w:tcPr>
            <w:tcW w:w="709" w:type="dxa"/>
          </w:tcPr>
          <w:p w14:paraId="5D3C149A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F517A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4C15A6FC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1275" w:type="dxa"/>
          </w:tcPr>
          <w:p w14:paraId="75B40070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1C24D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7AFF5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1.83 – 2.65</w:t>
            </w:r>
          </w:p>
        </w:tc>
        <w:tc>
          <w:tcPr>
            <w:tcW w:w="709" w:type="dxa"/>
          </w:tcPr>
          <w:p w14:paraId="77F61561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9F201A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9F54A6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8B6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</w:tc>
        <w:tc>
          <w:tcPr>
            <w:tcW w:w="851" w:type="dxa"/>
          </w:tcPr>
          <w:p w14:paraId="287F178F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785B8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5191A33B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1417" w:type="dxa"/>
          </w:tcPr>
          <w:p w14:paraId="5B3001E6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5AADF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91071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1.83 – 2.65</w:t>
            </w:r>
          </w:p>
        </w:tc>
        <w:tc>
          <w:tcPr>
            <w:tcW w:w="709" w:type="dxa"/>
          </w:tcPr>
          <w:p w14:paraId="2D389A51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4D20A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AC7D0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8B6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</w:tc>
      </w:tr>
      <w:tr w:rsidR="0082228B" w:rsidRPr="004528B6" w14:paraId="0D5A0C6B" w14:textId="77777777" w:rsidTr="0057504D">
        <w:trPr>
          <w:trHeight w:val="778"/>
        </w:trPr>
        <w:tc>
          <w:tcPr>
            <w:tcW w:w="2762" w:type="dxa"/>
          </w:tcPr>
          <w:p w14:paraId="3D7CD8DA" w14:textId="736789D2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 xml:space="preserve">‘Social </w:t>
            </w:r>
            <w:r w:rsidR="0084062E">
              <w:rPr>
                <w:rFonts w:ascii="Arial" w:hAnsi="Arial" w:cs="Arial"/>
                <w:sz w:val="20"/>
                <w:szCs w:val="20"/>
              </w:rPr>
              <w:t>interaction</w:t>
            </w:r>
            <w:r w:rsidRPr="004528B6">
              <w:rPr>
                <w:rFonts w:ascii="Arial" w:hAnsi="Arial" w:cs="Arial"/>
                <w:sz w:val="20"/>
                <w:szCs w:val="20"/>
              </w:rPr>
              <w:t>’</w:t>
            </w:r>
          </w:p>
          <w:p w14:paraId="7997E74D" w14:textId="661F4535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062E">
              <w:rPr>
                <w:rFonts w:ascii="Arial" w:hAnsi="Arial" w:cs="Arial"/>
                <w:sz w:val="20"/>
                <w:szCs w:val="20"/>
              </w:rPr>
              <w:t>Low</w:t>
            </w:r>
            <w:r w:rsidRPr="004528B6">
              <w:rPr>
                <w:rFonts w:ascii="Arial" w:hAnsi="Arial" w:cs="Arial"/>
                <w:sz w:val="20"/>
                <w:szCs w:val="20"/>
              </w:rPr>
              <w:t>er</w:t>
            </w:r>
          </w:p>
          <w:p w14:paraId="53917972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</w:tcPr>
          <w:p w14:paraId="0EECE9A7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528B6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3969" w:type="dxa"/>
          </w:tcPr>
          <w:p w14:paraId="31CC59FA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‘Aesthetics of built form’</w:t>
            </w:r>
          </w:p>
          <w:p w14:paraId="07A4890A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Lower</w:t>
            </w:r>
          </w:p>
          <w:p w14:paraId="4E2A0778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Higher</w:t>
            </w:r>
          </w:p>
        </w:tc>
        <w:tc>
          <w:tcPr>
            <w:tcW w:w="709" w:type="dxa"/>
          </w:tcPr>
          <w:p w14:paraId="3D6D6155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BD272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A052DB7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79833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556CABF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CE2A5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8B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C7FA4F0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77297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7523D7CE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1417" w:type="dxa"/>
          </w:tcPr>
          <w:p w14:paraId="7B1AE894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96196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1A004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0.39 – 0.91</w:t>
            </w:r>
          </w:p>
        </w:tc>
        <w:tc>
          <w:tcPr>
            <w:tcW w:w="709" w:type="dxa"/>
          </w:tcPr>
          <w:p w14:paraId="3B64A234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F7C2F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BE201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.016</w:t>
            </w:r>
          </w:p>
        </w:tc>
      </w:tr>
      <w:tr w:rsidR="0082228B" w:rsidRPr="004528B6" w14:paraId="0C12CA2D" w14:textId="77777777" w:rsidTr="0057504D">
        <w:trPr>
          <w:trHeight w:val="718"/>
        </w:trPr>
        <w:tc>
          <w:tcPr>
            <w:tcW w:w="2762" w:type="dxa"/>
          </w:tcPr>
          <w:p w14:paraId="529B265C" w14:textId="58AEEF20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lastRenderedPageBreak/>
              <w:t xml:space="preserve">‘Social </w:t>
            </w:r>
            <w:r w:rsidR="0084062E">
              <w:rPr>
                <w:rFonts w:ascii="Arial" w:hAnsi="Arial" w:cs="Arial"/>
                <w:sz w:val="20"/>
                <w:szCs w:val="20"/>
              </w:rPr>
              <w:t>interaction</w:t>
            </w:r>
            <w:r w:rsidRPr="004528B6">
              <w:rPr>
                <w:rFonts w:ascii="Arial" w:hAnsi="Arial" w:cs="Arial"/>
                <w:sz w:val="20"/>
                <w:szCs w:val="20"/>
              </w:rPr>
              <w:t>’</w:t>
            </w:r>
          </w:p>
          <w:p w14:paraId="251B67D2" w14:textId="4A18758B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062E">
              <w:rPr>
                <w:rFonts w:ascii="Arial" w:hAnsi="Arial" w:cs="Arial"/>
                <w:sz w:val="20"/>
                <w:szCs w:val="20"/>
              </w:rPr>
              <w:t>High</w:t>
            </w:r>
            <w:r w:rsidRPr="004528B6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788" w:type="dxa"/>
          </w:tcPr>
          <w:p w14:paraId="276AB94F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528B6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3969" w:type="dxa"/>
          </w:tcPr>
          <w:p w14:paraId="4453D341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‘Aesthetics of built form’</w:t>
            </w:r>
          </w:p>
          <w:p w14:paraId="5EDC505C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Lower</w:t>
            </w:r>
          </w:p>
          <w:p w14:paraId="4503BAE7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Higher</w:t>
            </w:r>
          </w:p>
        </w:tc>
        <w:tc>
          <w:tcPr>
            <w:tcW w:w="709" w:type="dxa"/>
          </w:tcPr>
          <w:p w14:paraId="3B2615D2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FF454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7ED0897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F6D08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CB6C67E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E9898A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8B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C4E750E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D9918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6E16DCB2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1417" w:type="dxa"/>
          </w:tcPr>
          <w:p w14:paraId="7E1D9498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A75D7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7A53B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1.10 – 1.77</w:t>
            </w:r>
          </w:p>
        </w:tc>
        <w:tc>
          <w:tcPr>
            <w:tcW w:w="709" w:type="dxa"/>
          </w:tcPr>
          <w:p w14:paraId="73BA8007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E8434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29BE1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8B6">
              <w:rPr>
                <w:rFonts w:ascii="Arial" w:hAnsi="Arial" w:cs="Arial"/>
                <w:b/>
                <w:sz w:val="20"/>
                <w:szCs w:val="20"/>
              </w:rPr>
              <w:t>.005</w:t>
            </w:r>
          </w:p>
        </w:tc>
      </w:tr>
      <w:tr w:rsidR="0082228B" w:rsidRPr="004528B6" w14:paraId="43836BC7" w14:textId="77777777" w:rsidTr="0057504D">
        <w:trPr>
          <w:trHeight w:val="284"/>
        </w:trPr>
        <w:tc>
          <w:tcPr>
            <w:tcW w:w="2762" w:type="dxa"/>
          </w:tcPr>
          <w:p w14:paraId="47E2E61B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‘Aesthetics of built form’</w:t>
            </w:r>
          </w:p>
          <w:p w14:paraId="66A277C4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Poorer</w:t>
            </w:r>
          </w:p>
        </w:tc>
        <w:tc>
          <w:tcPr>
            <w:tcW w:w="788" w:type="dxa"/>
          </w:tcPr>
          <w:p w14:paraId="01D991DE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528B6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3969" w:type="dxa"/>
          </w:tcPr>
          <w:p w14:paraId="12BDA833" w14:textId="25AC2404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 xml:space="preserve">‘Social </w:t>
            </w:r>
            <w:r w:rsidR="0084062E">
              <w:rPr>
                <w:rFonts w:ascii="Arial" w:hAnsi="Arial" w:cs="Arial"/>
                <w:sz w:val="20"/>
                <w:szCs w:val="20"/>
              </w:rPr>
              <w:t>interaction</w:t>
            </w:r>
            <w:r w:rsidRPr="004528B6">
              <w:rPr>
                <w:rFonts w:ascii="Arial" w:hAnsi="Arial" w:cs="Arial"/>
                <w:sz w:val="20"/>
                <w:szCs w:val="20"/>
              </w:rPr>
              <w:t>’</w:t>
            </w:r>
          </w:p>
          <w:p w14:paraId="10EA6900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Lower</w:t>
            </w:r>
          </w:p>
          <w:p w14:paraId="0BCADF86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Higher</w:t>
            </w:r>
          </w:p>
        </w:tc>
        <w:tc>
          <w:tcPr>
            <w:tcW w:w="709" w:type="dxa"/>
          </w:tcPr>
          <w:p w14:paraId="00EDC5D7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B7863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4D6390B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574074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350535E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B23F3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8B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9BF0336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AF1AD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2346697E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4.93</w:t>
            </w:r>
          </w:p>
        </w:tc>
        <w:tc>
          <w:tcPr>
            <w:tcW w:w="1417" w:type="dxa"/>
          </w:tcPr>
          <w:p w14:paraId="5F49D320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54FFD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A5CD3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3.93 – 6.18</w:t>
            </w:r>
          </w:p>
        </w:tc>
        <w:tc>
          <w:tcPr>
            <w:tcW w:w="709" w:type="dxa"/>
          </w:tcPr>
          <w:p w14:paraId="15D7E22C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C6B75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32731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8B6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</w:tc>
      </w:tr>
      <w:tr w:rsidR="0082228B" w:rsidRPr="004528B6" w14:paraId="19749A3E" w14:textId="77777777" w:rsidTr="0057504D">
        <w:trPr>
          <w:trHeight w:val="648"/>
        </w:trPr>
        <w:tc>
          <w:tcPr>
            <w:tcW w:w="2762" w:type="dxa"/>
            <w:tcBorders>
              <w:bottom w:val="single" w:sz="4" w:space="0" w:color="auto"/>
            </w:tcBorders>
          </w:tcPr>
          <w:p w14:paraId="23CA7734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‘Aesthetics of built form’</w:t>
            </w:r>
          </w:p>
          <w:p w14:paraId="294BCB6D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Better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5BC7DDA7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528B6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D8F2D55" w14:textId="57EE7E13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 xml:space="preserve">‘Social </w:t>
            </w:r>
            <w:r w:rsidR="0084062E">
              <w:rPr>
                <w:rFonts w:ascii="Arial" w:hAnsi="Arial" w:cs="Arial"/>
                <w:sz w:val="20"/>
                <w:szCs w:val="20"/>
              </w:rPr>
              <w:t>interaction</w:t>
            </w:r>
            <w:r w:rsidRPr="004528B6">
              <w:rPr>
                <w:rFonts w:ascii="Arial" w:hAnsi="Arial" w:cs="Arial"/>
                <w:sz w:val="20"/>
                <w:szCs w:val="20"/>
              </w:rPr>
              <w:t>’</w:t>
            </w:r>
          </w:p>
          <w:p w14:paraId="18CACB4E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Lower</w:t>
            </w:r>
          </w:p>
          <w:p w14:paraId="36E6365E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28B6">
              <w:rPr>
                <w:rFonts w:ascii="Arial" w:hAnsi="Arial" w:cs="Arial"/>
                <w:sz w:val="20"/>
                <w:szCs w:val="20"/>
              </w:rPr>
              <w:t>Higher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C0957B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367A6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21C2E97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3FDD2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9D2626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CD6DE0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8B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FCFDC6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04EC7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7DFAE475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10.67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1B573D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E9268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3720E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  <w:r w:rsidRPr="004528B6">
              <w:rPr>
                <w:rFonts w:ascii="Arial" w:hAnsi="Arial" w:cs="Arial"/>
                <w:sz w:val="20"/>
                <w:szCs w:val="20"/>
              </w:rPr>
              <w:t>7.88 – 14.46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2EB4780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2A6C1" w14:textId="77777777" w:rsidR="0082228B" w:rsidRPr="004528B6" w:rsidRDefault="0082228B" w:rsidP="0057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42F3A" w14:textId="77777777" w:rsidR="0082228B" w:rsidRPr="004528B6" w:rsidRDefault="0082228B" w:rsidP="00575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8B6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</w:tc>
      </w:tr>
    </w:tbl>
    <w:p w14:paraId="698E8B2C" w14:textId="77777777" w:rsidR="005D15EC" w:rsidRPr="00686430" w:rsidRDefault="005D15EC" w:rsidP="005D15EC">
      <w:pPr>
        <w:pStyle w:val="NormalWeb"/>
        <w:spacing w:line="48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Models were conducted by stratified group and included selected</w:t>
      </w:r>
      <w:r w:rsidRPr="00C80A8F">
        <w:rPr>
          <w:rFonts w:ascii="Arial" w:hAnsi="Arial" w:cs="Arial"/>
          <w:sz w:val="20"/>
          <w:szCs w:val="20"/>
        </w:rPr>
        <w:t xml:space="preserve"> environment factor</w:t>
      </w:r>
      <w:r>
        <w:rPr>
          <w:rFonts w:ascii="Arial" w:hAnsi="Arial" w:cs="Arial"/>
          <w:sz w:val="20"/>
          <w:szCs w:val="20"/>
        </w:rPr>
        <w:t>s</w:t>
      </w:r>
      <w:r w:rsidRPr="00C80A8F">
        <w:rPr>
          <w:rFonts w:ascii="Arial" w:hAnsi="Arial" w:cs="Arial"/>
          <w:sz w:val="20"/>
          <w:szCs w:val="20"/>
        </w:rPr>
        <w:t xml:space="preserve"> and covariates (sex, age, citizenship, employment status, tenure, mobility-limiting illness</w:t>
      </w:r>
      <w:r>
        <w:rPr>
          <w:rFonts w:ascii="Arial" w:hAnsi="Arial" w:cs="Arial"/>
          <w:sz w:val="20"/>
          <w:szCs w:val="20"/>
        </w:rPr>
        <w:t>, vehicle ownership, distance to audit site</w:t>
      </w:r>
      <w:r w:rsidRPr="00C80A8F">
        <w:rPr>
          <w:rFonts w:ascii="Arial" w:hAnsi="Arial" w:cs="Arial"/>
          <w:sz w:val="20"/>
          <w:szCs w:val="20"/>
        </w:rPr>
        <w:t xml:space="preserve"> and neighbourhood deprivation), adjusted for participant</w:t>
      </w:r>
      <w:r>
        <w:rPr>
          <w:rFonts w:ascii="Arial" w:hAnsi="Arial" w:cs="Arial"/>
          <w:sz w:val="20"/>
          <w:szCs w:val="20"/>
        </w:rPr>
        <w:t xml:space="preserve"> sub-area.</w:t>
      </w:r>
    </w:p>
    <w:p w14:paraId="3414734C" w14:textId="77777777" w:rsidR="0090008E" w:rsidRDefault="0090008E" w:rsidP="0090008E"/>
    <w:p w14:paraId="0F97FC6F" w14:textId="77777777" w:rsidR="00EA77B6" w:rsidRDefault="00EA77B6"/>
    <w:sectPr w:rsidR="00EA77B6" w:rsidSect="00D170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8B"/>
    <w:rsid w:val="00056860"/>
    <w:rsid w:val="00223018"/>
    <w:rsid w:val="002C0A34"/>
    <w:rsid w:val="005D15EC"/>
    <w:rsid w:val="006918EF"/>
    <w:rsid w:val="0082228B"/>
    <w:rsid w:val="0084062E"/>
    <w:rsid w:val="0090008E"/>
    <w:rsid w:val="00AD5F94"/>
    <w:rsid w:val="00BF0FFD"/>
    <w:rsid w:val="00D1702F"/>
    <w:rsid w:val="00D24D84"/>
    <w:rsid w:val="00EA2186"/>
    <w:rsid w:val="00EA77B6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7C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8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28B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82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0008E"/>
    <w:pPr>
      <w:spacing w:after="200"/>
    </w:pPr>
    <w:rPr>
      <w:b/>
      <w:bCs/>
      <w:color w:val="5B9BD5" w:themeColor="accent1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2E"/>
    <w:rPr>
      <w:rFonts w:ascii="Times New Roman" w:hAnsi="Times New Roman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8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28B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82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0008E"/>
    <w:pPr>
      <w:spacing w:after="200"/>
    </w:pPr>
    <w:rPr>
      <w:b/>
      <w:bCs/>
      <w:color w:val="5B9BD5" w:themeColor="accent1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2E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F7827C2.dotm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rmjlsaw</dc:creator>
  <cp:lastModifiedBy>rmjlsaw</cp:lastModifiedBy>
  <cp:revision>4</cp:revision>
  <dcterms:created xsi:type="dcterms:W3CDTF">2017-11-22T15:20:00Z</dcterms:created>
  <dcterms:modified xsi:type="dcterms:W3CDTF">2017-11-23T17:31:00Z</dcterms:modified>
</cp:coreProperties>
</file>