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50" w:rsidRPr="004B333B" w:rsidRDefault="00D41950" w:rsidP="00D41950">
      <w:pPr>
        <w:pStyle w:val="Titre2"/>
        <w:rPr>
          <w:noProof/>
          <w:lang w:val="en-US"/>
        </w:rPr>
      </w:pPr>
      <w:r w:rsidRPr="004B333B">
        <w:rPr>
          <w:noProof/>
          <w:lang w:val="en-US"/>
        </w:rPr>
        <w:t xml:space="preserve">Appendix </w:t>
      </w:r>
      <w:r w:rsidR="009B017C">
        <w:rPr>
          <w:noProof/>
          <w:lang w:val="en-US"/>
        </w:rPr>
        <w:t>S</w:t>
      </w:r>
      <w:r w:rsidRPr="004B333B">
        <w:rPr>
          <w:noProof/>
          <w:lang w:val="en-US"/>
        </w:rPr>
        <w:t>1: Assessment in the present study of the effect of methodological choices made in a similar study carried out in 2001-2003</w:t>
      </w:r>
    </w:p>
    <w:p w:rsidR="00D41950" w:rsidRPr="004B333B" w:rsidRDefault="00D41950" w:rsidP="00D41950">
      <w:pPr>
        <w:pStyle w:val="paragraphen"/>
      </w:pPr>
      <w:r w:rsidRPr="004B333B">
        <w:t>The two studies differ on three methodological points. The impact of these choices on the results obtained is as follows:</w:t>
      </w:r>
    </w:p>
    <w:p w:rsidR="00D41950" w:rsidRPr="004B333B" w:rsidRDefault="00D41950" w:rsidP="00D41950">
      <w:pPr>
        <w:pStyle w:val="paragraphen"/>
      </w:pPr>
      <w:r w:rsidRPr="004B333B">
        <w:t>The first point is the choice of reference level, which included persons having positive blood concentrations but below the legal limit (mainly deceased persons with systematic blood test). This choice has a negligible influence on the results, because the number of these persons is very low compared with the number of persons who tested negative.</w:t>
      </w:r>
    </w:p>
    <w:p w:rsidR="00D41950" w:rsidRPr="004B333B" w:rsidRDefault="00D41950" w:rsidP="00D41950">
      <w:pPr>
        <w:pStyle w:val="paragraphen"/>
      </w:pPr>
      <w:r w:rsidRPr="004B333B">
        <w:t>The second consists in the exclusion of non-responsible deceased persons who were the only fatalities in the accident. This exclusion was motivated by the fact that the probability of being killed was higher in drivers who tested positive for alcohol and/or cannabis. Thus, non-responsible drivers were more likely to be included in the control group, because their risk of being killed, and therefore of being involved in a fatal accident, was higher. As this phenomenon was much less frequent in the present 2011 data, and the statistical power of the present study was further reduced by the fact that it was limited to a single year’s accidentology data, with a lower annual number of fatal accidents than 10 years previously, the present control group comprised all non-responsible drivers involved in a fatal accident. Applied to the present study, this reduction in the non-responsible group led to an increase in the ORs related to alcohol and cannabis, but which remained in the same order of magnitude.</w:t>
      </w:r>
    </w:p>
    <w:p w:rsidR="00D41950" w:rsidRPr="004B333B" w:rsidRDefault="00D41950" w:rsidP="00D41950">
      <w:pPr>
        <w:pStyle w:val="paragraphen"/>
      </w:pPr>
      <w:r w:rsidRPr="004B333B">
        <w:t>Thirdly, the basic difference stems from a less specific determination of responsibility, because expert advice was obtained for only a small part of the observations. In order to assess what influence this difference made to the results, the following Tables replicate Tables 2 and 4, using responsibility based on Robertson and Drummer’s method (R&amp;D), as in the 2002-2003 SAM data set, in place of responsibility judged by experts.</w:t>
      </w:r>
    </w:p>
    <w:p w:rsidR="00D41950" w:rsidRPr="004B333B" w:rsidRDefault="00D41950" w:rsidP="00D41950">
      <w:pPr>
        <w:pStyle w:val="paragraphen"/>
      </w:pPr>
    </w:p>
    <w:p w:rsidR="00D41950" w:rsidRPr="004B333B" w:rsidRDefault="009B017C" w:rsidP="00D41950">
      <w:pPr>
        <w:pStyle w:val="Lgende"/>
        <w:keepNext/>
        <w:rPr>
          <w:noProof/>
          <w:szCs w:val="20"/>
          <w:lang w:val="en-US"/>
        </w:rPr>
      </w:pPr>
      <w:r>
        <w:rPr>
          <w:noProof/>
          <w:szCs w:val="20"/>
          <w:lang w:val="en-US"/>
        </w:rPr>
        <w:lastRenderedPageBreak/>
        <w:t xml:space="preserve">S1 </w:t>
      </w:r>
      <w:r w:rsidR="00D41950" w:rsidRPr="004B333B">
        <w:rPr>
          <w:noProof/>
          <w:szCs w:val="20"/>
          <w:lang w:val="en-US"/>
        </w:rPr>
        <w:t xml:space="preserve">Table 2-A: Prevalence and crude OR of responsibility (R&amp;D) linked to driving under the influence </w:t>
      </w:r>
      <w:r w:rsidR="00D41950" w:rsidRPr="004B333B">
        <w:rPr>
          <w:noProof/>
          <w:szCs w:val="20"/>
          <w:lang w:val="en-US"/>
        </w:rPr>
        <w:br/>
        <w:t>(n=3,922 drivers involved in a fatal accident. Voiesur 2011 data)</w:t>
      </w:r>
    </w:p>
    <w:tbl>
      <w:tblPr>
        <w:tblW w:w="0" w:type="auto"/>
        <w:jc w:val="center"/>
        <w:tblCellMar>
          <w:left w:w="70" w:type="dxa"/>
          <w:right w:w="70" w:type="dxa"/>
        </w:tblCellMar>
        <w:tblLook w:val="0000" w:firstRow="0" w:lastRow="0" w:firstColumn="0" w:lastColumn="0" w:noHBand="0" w:noVBand="0"/>
      </w:tblPr>
      <w:tblGrid>
        <w:gridCol w:w="2592"/>
        <w:gridCol w:w="964"/>
        <w:gridCol w:w="1245"/>
        <w:gridCol w:w="1206"/>
        <w:gridCol w:w="1111"/>
        <w:gridCol w:w="1711"/>
      </w:tblGrid>
      <w:tr w:rsidR="00D41950" w:rsidRPr="004B333B" w:rsidTr="009C1D0D">
        <w:trPr>
          <w:trHeight w:val="335"/>
          <w:jc w:val="center"/>
        </w:trPr>
        <w:tc>
          <w:tcPr>
            <w:tcW w:w="2592" w:type="dxa"/>
            <w:tcBorders>
              <w:top w:val="single" w:sz="4" w:space="0" w:color="auto"/>
            </w:tcBorders>
            <w:vAlign w:val="center"/>
          </w:tcPr>
          <w:p w:rsidR="00D41950" w:rsidRPr="004B333B" w:rsidRDefault="00D41950" w:rsidP="009C1D0D">
            <w:pPr>
              <w:pStyle w:val="textetableau"/>
              <w:keepNext/>
              <w:jc w:val="center"/>
              <w:rPr>
                <w:rFonts w:asciiTheme="minorHAnsi" w:hAnsiTheme="minorHAnsi"/>
                <w:noProof/>
                <w:lang w:val="en-US"/>
              </w:rPr>
            </w:pPr>
          </w:p>
        </w:tc>
        <w:tc>
          <w:tcPr>
            <w:tcW w:w="964" w:type="dxa"/>
            <w:tcBorders>
              <w:top w:val="single" w:sz="4" w:space="0" w:color="auto"/>
            </w:tcBorders>
            <w:vAlign w:val="center"/>
          </w:tcPr>
          <w:p w:rsidR="00D41950" w:rsidRPr="004B333B" w:rsidRDefault="00D41950" w:rsidP="009C1D0D">
            <w:pPr>
              <w:pStyle w:val="textetableau"/>
              <w:keepNext/>
              <w:jc w:val="center"/>
              <w:rPr>
                <w:rFonts w:asciiTheme="minorHAnsi" w:hAnsiTheme="minorHAnsi"/>
                <w:noProof/>
                <w:lang w:val="en-US"/>
              </w:rPr>
            </w:pPr>
          </w:p>
        </w:tc>
        <w:tc>
          <w:tcPr>
            <w:tcW w:w="2451" w:type="dxa"/>
            <w:gridSpan w:val="2"/>
            <w:tcBorders>
              <w:top w:val="single" w:sz="4" w:space="0" w:color="auto"/>
              <w:bottom w:val="single" w:sz="4" w:space="0" w:color="auto"/>
            </w:tcBorders>
            <w:vAlign w:val="center"/>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Drivers</w:t>
            </w:r>
          </w:p>
        </w:tc>
        <w:tc>
          <w:tcPr>
            <w:tcW w:w="1111" w:type="dxa"/>
            <w:tcBorders>
              <w:top w:val="single" w:sz="4" w:space="0" w:color="auto"/>
            </w:tcBorders>
            <w:vAlign w:val="center"/>
          </w:tcPr>
          <w:p w:rsidR="00D41950" w:rsidRPr="004B333B" w:rsidRDefault="00D41950" w:rsidP="009C1D0D">
            <w:pPr>
              <w:pStyle w:val="textetableau"/>
              <w:keepNext/>
              <w:jc w:val="center"/>
              <w:rPr>
                <w:rFonts w:asciiTheme="minorHAnsi" w:hAnsiTheme="minorHAnsi"/>
                <w:noProof/>
                <w:lang w:val="en-US"/>
              </w:rPr>
            </w:pPr>
          </w:p>
        </w:tc>
        <w:tc>
          <w:tcPr>
            <w:tcW w:w="1711" w:type="dxa"/>
            <w:tcBorders>
              <w:top w:val="single" w:sz="4" w:space="0" w:color="auto"/>
            </w:tcBorders>
          </w:tcPr>
          <w:p w:rsidR="00D41950" w:rsidRPr="004B333B" w:rsidRDefault="00D41950" w:rsidP="009C1D0D">
            <w:pPr>
              <w:pStyle w:val="textetableau"/>
              <w:keepNext/>
              <w:jc w:val="center"/>
              <w:rPr>
                <w:rFonts w:asciiTheme="minorHAnsi" w:hAnsiTheme="minorHAnsi"/>
                <w:noProof/>
                <w:lang w:val="en-US"/>
              </w:rPr>
            </w:pPr>
          </w:p>
        </w:tc>
      </w:tr>
      <w:tr w:rsidR="00D41950" w:rsidRPr="004B333B" w:rsidTr="009C1D0D">
        <w:trPr>
          <w:trHeight w:val="335"/>
          <w:jc w:val="center"/>
        </w:trPr>
        <w:tc>
          <w:tcPr>
            <w:tcW w:w="2592" w:type="dxa"/>
            <w:tcBorders>
              <w:bottom w:val="single" w:sz="4" w:space="0" w:color="auto"/>
            </w:tcBorders>
            <w:vAlign w:val="center"/>
          </w:tcPr>
          <w:p w:rsidR="00D41950" w:rsidRPr="004B333B" w:rsidRDefault="00D41950" w:rsidP="009C1D0D">
            <w:pPr>
              <w:pStyle w:val="textetableau"/>
              <w:keepNext/>
              <w:rPr>
                <w:rFonts w:asciiTheme="minorHAnsi" w:hAnsiTheme="minorHAnsi"/>
                <w:noProof/>
                <w:lang w:val="en-US"/>
              </w:rPr>
            </w:pPr>
            <w:r w:rsidRPr="004B333B">
              <w:rPr>
                <w:rFonts w:asciiTheme="minorHAnsi" w:hAnsiTheme="minorHAnsi"/>
                <w:noProof/>
                <w:lang w:val="en-US"/>
              </w:rPr>
              <w:t>Blood concentrations</w:t>
            </w:r>
          </w:p>
        </w:tc>
        <w:tc>
          <w:tcPr>
            <w:tcW w:w="964" w:type="dxa"/>
            <w:tcBorders>
              <w:bottom w:val="single" w:sz="4" w:space="0" w:color="auto"/>
            </w:tcBorders>
            <w:vAlign w:val="center"/>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Number</w:t>
            </w:r>
          </w:p>
        </w:tc>
        <w:tc>
          <w:tcPr>
            <w:tcW w:w="1245" w:type="dxa"/>
            <w:tcBorders>
              <w:top w:val="single" w:sz="4" w:space="0" w:color="auto"/>
              <w:bottom w:val="single" w:sz="4" w:space="0" w:color="auto"/>
            </w:tcBorders>
            <w:vAlign w:val="center"/>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Responsible</w:t>
            </w:r>
          </w:p>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(R&amp;D)</w:t>
            </w:r>
          </w:p>
        </w:tc>
        <w:tc>
          <w:tcPr>
            <w:tcW w:w="1206" w:type="dxa"/>
            <w:tcBorders>
              <w:top w:val="single" w:sz="4" w:space="0" w:color="auto"/>
              <w:bottom w:val="single" w:sz="4" w:space="0" w:color="auto"/>
            </w:tcBorders>
            <w:vAlign w:val="center"/>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Non-responsible</w:t>
            </w:r>
          </w:p>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(R&amp;D)</w:t>
            </w:r>
          </w:p>
        </w:tc>
        <w:tc>
          <w:tcPr>
            <w:tcW w:w="1111" w:type="dxa"/>
            <w:tcBorders>
              <w:bottom w:val="single" w:sz="4" w:space="0" w:color="auto"/>
            </w:tcBorders>
            <w:vAlign w:val="center"/>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 xml:space="preserve"> OR</w:t>
            </w:r>
          </w:p>
        </w:tc>
        <w:tc>
          <w:tcPr>
            <w:tcW w:w="1711" w:type="dxa"/>
            <w:tcBorders>
              <w:bottom w:val="single" w:sz="4" w:space="0" w:color="auto"/>
            </w:tcBorders>
            <w:vAlign w:val="center"/>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95% CI</w:t>
            </w:r>
          </w:p>
        </w:tc>
      </w:tr>
      <w:tr w:rsidR="00D41950" w:rsidRPr="004B333B" w:rsidTr="009C1D0D">
        <w:trPr>
          <w:jc w:val="center"/>
        </w:trPr>
        <w:tc>
          <w:tcPr>
            <w:tcW w:w="2592" w:type="dxa"/>
            <w:tcBorders>
              <w:top w:val="single" w:sz="4" w:space="0" w:color="auto"/>
            </w:tcBorders>
          </w:tcPr>
          <w:p w:rsidR="00D41950" w:rsidRPr="004B333B" w:rsidRDefault="00D41950" w:rsidP="009C1D0D">
            <w:pPr>
              <w:pStyle w:val="textetableau"/>
              <w:keepNext/>
              <w:jc w:val="right"/>
              <w:rPr>
                <w:rFonts w:asciiTheme="minorHAnsi" w:hAnsiTheme="minorHAnsi"/>
                <w:noProof/>
                <w:lang w:val="en-US"/>
              </w:rPr>
            </w:pPr>
            <w:r w:rsidRPr="004B333B">
              <w:rPr>
                <w:rFonts w:asciiTheme="minorHAnsi" w:hAnsiTheme="minorHAnsi"/>
                <w:noProof/>
                <w:lang w:val="en-US"/>
              </w:rPr>
              <w:t>Number</w:t>
            </w:r>
          </w:p>
        </w:tc>
        <w:tc>
          <w:tcPr>
            <w:tcW w:w="964" w:type="dxa"/>
            <w:tcBorders>
              <w:top w:val="single" w:sz="4" w:space="0" w:color="auto"/>
            </w:tcBorders>
          </w:tcPr>
          <w:p w:rsidR="00D41950" w:rsidRPr="004B333B" w:rsidRDefault="00D41950" w:rsidP="009C1D0D">
            <w:pPr>
              <w:pStyle w:val="textetableau"/>
              <w:keepNext/>
              <w:ind w:right="227"/>
              <w:jc w:val="right"/>
              <w:rPr>
                <w:rFonts w:asciiTheme="minorHAnsi" w:hAnsiTheme="minorHAnsi"/>
                <w:noProof/>
                <w:lang w:val="en-US"/>
              </w:rPr>
            </w:pPr>
            <w:r w:rsidRPr="004B333B">
              <w:rPr>
                <w:rFonts w:asciiTheme="minorHAnsi" w:hAnsiTheme="minorHAnsi" w:cs="Times New Roman"/>
                <w:noProof/>
                <w:lang w:val="en-US"/>
              </w:rPr>
              <w:t>3,922</w:t>
            </w:r>
          </w:p>
        </w:tc>
        <w:tc>
          <w:tcPr>
            <w:tcW w:w="1245" w:type="dxa"/>
            <w:tcBorders>
              <w:top w:val="single" w:sz="4" w:space="0" w:color="auto"/>
            </w:tcBorders>
          </w:tcPr>
          <w:p w:rsidR="00D41950" w:rsidRPr="004B333B" w:rsidRDefault="00D41950" w:rsidP="009C1D0D">
            <w:pPr>
              <w:pStyle w:val="textetableau"/>
              <w:keepNext/>
              <w:jc w:val="right"/>
              <w:rPr>
                <w:rFonts w:asciiTheme="minorHAnsi" w:hAnsiTheme="minorHAnsi"/>
                <w:noProof/>
                <w:lang w:val="en-US"/>
              </w:rPr>
            </w:pPr>
            <w:r w:rsidRPr="004B333B">
              <w:rPr>
                <w:rFonts w:asciiTheme="minorHAnsi" w:hAnsiTheme="minorHAnsi" w:cs="Times New Roman"/>
                <w:noProof/>
                <w:lang w:val="en-US"/>
              </w:rPr>
              <w:t>2,976   </w:t>
            </w:r>
          </w:p>
        </w:tc>
        <w:tc>
          <w:tcPr>
            <w:tcW w:w="1206" w:type="dxa"/>
            <w:tcBorders>
              <w:top w:val="single" w:sz="4" w:space="0" w:color="auto"/>
            </w:tcBorders>
          </w:tcPr>
          <w:p w:rsidR="00D41950" w:rsidRPr="004B333B" w:rsidRDefault="00D41950" w:rsidP="009C1D0D">
            <w:pPr>
              <w:pStyle w:val="textetableau"/>
              <w:keepNext/>
              <w:jc w:val="center"/>
              <w:rPr>
                <w:rFonts w:asciiTheme="minorHAnsi" w:hAnsiTheme="minorHAnsi" w:cs="Times New Roman"/>
                <w:noProof/>
                <w:lang w:val="en-US"/>
              </w:rPr>
            </w:pPr>
            <w:r w:rsidRPr="004B333B">
              <w:rPr>
                <w:rFonts w:asciiTheme="minorHAnsi" w:hAnsiTheme="minorHAnsi" w:cs="Times New Roman"/>
                <w:noProof/>
                <w:lang w:val="en-US"/>
              </w:rPr>
              <w:t>1,246</w:t>
            </w:r>
          </w:p>
        </w:tc>
        <w:tc>
          <w:tcPr>
            <w:tcW w:w="1111" w:type="dxa"/>
            <w:tcBorders>
              <w:top w:val="single" w:sz="4" w:space="0" w:color="auto"/>
            </w:tcBorders>
          </w:tcPr>
          <w:p w:rsidR="00D41950" w:rsidRPr="004B333B" w:rsidRDefault="00D41950" w:rsidP="009C1D0D">
            <w:pPr>
              <w:pStyle w:val="textetableau"/>
              <w:keepNext/>
              <w:jc w:val="center"/>
              <w:rPr>
                <w:rFonts w:asciiTheme="minorHAnsi" w:hAnsiTheme="minorHAnsi" w:cs="Times New Roman"/>
                <w:noProof/>
                <w:lang w:val="en-US"/>
              </w:rPr>
            </w:pPr>
          </w:p>
        </w:tc>
        <w:tc>
          <w:tcPr>
            <w:tcW w:w="1711" w:type="dxa"/>
            <w:tcBorders>
              <w:top w:val="single" w:sz="4" w:space="0" w:color="auto"/>
            </w:tcBorders>
          </w:tcPr>
          <w:p w:rsidR="00D41950" w:rsidRPr="004B333B" w:rsidRDefault="00D41950" w:rsidP="009C1D0D">
            <w:pPr>
              <w:pStyle w:val="textetableau"/>
              <w:keepNext/>
              <w:jc w:val="center"/>
              <w:rPr>
                <w:rFonts w:asciiTheme="minorHAnsi" w:hAnsiTheme="minorHAnsi"/>
                <w:noProof/>
                <w:lang w:val="en-US"/>
              </w:rPr>
            </w:pPr>
          </w:p>
        </w:tc>
      </w:tr>
      <w:tr w:rsidR="00D41950" w:rsidRPr="004B333B" w:rsidTr="009C1D0D">
        <w:trPr>
          <w:jc w:val="center"/>
        </w:trPr>
        <w:tc>
          <w:tcPr>
            <w:tcW w:w="2592" w:type="dxa"/>
            <w:tcBorders>
              <w:top w:val="single" w:sz="4" w:space="0" w:color="auto"/>
            </w:tcBorders>
          </w:tcPr>
          <w:p w:rsidR="00D41950" w:rsidRPr="004B333B" w:rsidRDefault="00D41950" w:rsidP="009C1D0D">
            <w:pPr>
              <w:pStyle w:val="textetableau"/>
              <w:keepNext/>
              <w:tabs>
                <w:tab w:val="left" w:pos="2530"/>
              </w:tabs>
              <w:rPr>
                <w:rFonts w:asciiTheme="minorHAnsi" w:hAnsiTheme="minorHAnsi"/>
                <w:noProof/>
                <w:lang w:val="en-US"/>
              </w:rPr>
            </w:pPr>
            <w:r w:rsidRPr="004B333B">
              <w:rPr>
                <w:rFonts w:asciiTheme="minorHAnsi" w:hAnsiTheme="minorHAnsi"/>
                <w:noProof/>
                <w:lang w:val="en-US"/>
              </w:rPr>
              <w:t>Cannabis. THC ≥ 1 ng/ml</w:t>
            </w:r>
          </w:p>
        </w:tc>
        <w:tc>
          <w:tcPr>
            <w:tcW w:w="964" w:type="dxa"/>
            <w:tcBorders>
              <w:top w:val="single" w:sz="4" w:space="0" w:color="auto"/>
            </w:tcBorders>
          </w:tcPr>
          <w:p w:rsidR="00D41950" w:rsidRPr="004B333B" w:rsidRDefault="00D41950" w:rsidP="009C1D0D">
            <w:pPr>
              <w:pStyle w:val="textetableau"/>
              <w:keepNext/>
              <w:ind w:right="227"/>
              <w:jc w:val="right"/>
              <w:rPr>
                <w:rFonts w:asciiTheme="minorHAnsi" w:hAnsiTheme="minorHAnsi"/>
                <w:noProof/>
                <w:lang w:val="en-US"/>
              </w:rPr>
            </w:pPr>
            <w:r w:rsidRPr="004B333B">
              <w:rPr>
                <w:rFonts w:asciiTheme="minorHAnsi" w:hAnsiTheme="minorHAnsi"/>
                <w:noProof/>
                <w:lang w:val="en-US"/>
              </w:rPr>
              <w:t>317</w:t>
            </w:r>
          </w:p>
        </w:tc>
        <w:tc>
          <w:tcPr>
            <w:tcW w:w="1245" w:type="dxa"/>
            <w:tcBorders>
              <w:top w:val="single" w:sz="4" w:space="0" w:color="auto"/>
            </w:tcBorders>
          </w:tcPr>
          <w:p w:rsidR="00D41950" w:rsidRPr="004B333B" w:rsidRDefault="00D41950" w:rsidP="009C1D0D">
            <w:pPr>
              <w:pStyle w:val="textetableau"/>
              <w:keepNext/>
              <w:ind w:right="170"/>
              <w:jc w:val="right"/>
              <w:rPr>
                <w:rFonts w:asciiTheme="minorHAnsi" w:hAnsiTheme="minorHAnsi"/>
                <w:noProof/>
                <w:lang w:val="en-US"/>
              </w:rPr>
            </w:pPr>
            <w:r w:rsidRPr="004B333B">
              <w:rPr>
                <w:rFonts w:asciiTheme="minorHAnsi" w:hAnsiTheme="minorHAnsi"/>
                <w:noProof/>
                <w:lang w:val="en-US"/>
              </w:rPr>
              <w:t>10.3%</w:t>
            </w:r>
          </w:p>
        </w:tc>
        <w:tc>
          <w:tcPr>
            <w:tcW w:w="1206" w:type="dxa"/>
            <w:tcBorders>
              <w:top w:val="single" w:sz="4" w:space="0" w:color="auto"/>
            </w:tcBorders>
          </w:tcPr>
          <w:p w:rsidR="00D41950" w:rsidRPr="004B333B" w:rsidRDefault="00D41950" w:rsidP="009C1D0D">
            <w:pPr>
              <w:pStyle w:val="textetableau"/>
              <w:keepNext/>
              <w:ind w:left="85"/>
              <w:jc w:val="center"/>
              <w:rPr>
                <w:rFonts w:asciiTheme="minorHAnsi" w:hAnsiTheme="minorHAnsi"/>
                <w:noProof/>
                <w:lang w:val="en-US"/>
              </w:rPr>
            </w:pPr>
            <w:r w:rsidRPr="004B333B">
              <w:rPr>
                <w:rFonts w:asciiTheme="minorHAnsi" w:hAnsiTheme="minorHAnsi"/>
                <w:noProof/>
                <w:lang w:val="en-US"/>
              </w:rPr>
              <w:t>3.4%</w:t>
            </w:r>
          </w:p>
        </w:tc>
        <w:tc>
          <w:tcPr>
            <w:tcW w:w="1111" w:type="dxa"/>
            <w:tcBorders>
              <w:top w:val="single" w:sz="4" w:space="0" w:color="auto"/>
            </w:tcBorders>
          </w:tcPr>
          <w:p w:rsidR="00D41950" w:rsidRPr="004B333B" w:rsidRDefault="00D41950" w:rsidP="009C1D0D">
            <w:pPr>
              <w:pStyle w:val="textetableau"/>
              <w:keepNext/>
              <w:jc w:val="right"/>
              <w:rPr>
                <w:rFonts w:asciiTheme="minorHAnsi" w:hAnsiTheme="minorHAnsi"/>
                <w:noProof/>
                <w:lang w:val="en-US"/>
              </w:rPr>
            </w:pPr>
            <w:r w:rsidRPr="004B333B">
              <w:rPr>
                <w:rFonts w:asciiTheme="minorHAnsi" w:hAnsiTheme="minorHAnsi"/>
                <w:noProof/>
                <w:lang w:val="en-US"/>
              </w:rPr>
              <w:t>3.28</w:t>
            </w:r>
          </w:p>
        </w:tc>
        <w:tc>
          <w:tcPr>
            <w:tcW w:w="1711" w:type="dxa"/>
            <w:tcBorders>
              <w:top w:val="single" w:sz="4" w:space="0" w:color="auto"/>
            </w:tcBorders>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2.36 – 4.58</w:t>
            </w:r>
          </w:p>
        </w:tc>
      </w:tr>
      <w:tr w:rsidR="00D41950" w:rsidRPr="004B333B" w:rsidTr="009C1D0D">
        <w:trPr>
          <w:jc w:val="center"/>
        </w:trPr>
        <w:tc>
          <w:tcPr>
            <w:tcW w:w="2592" w:type="dxa"/>
          </w:tcPr>
          <w:p w:rsidR="00D41950" w:rsidRPr="004B333B" w:rsidRDefault="00D41950" w:rsidP="009C1D0D">
            <w:pPr>
              <w:pStyle w:val="textetableau"/>
              <w:keepNext/>
              <w:tabs>
                <w:tab w:val="left" w:pos="2530"/>
              </w:tabs>
              <w:rPr>
                <w:rFonts w:asciiTheme="minorHAnsi" w:hAnsiTheme="minorHAnsi"/>
                <w:noProof/>
                <w:lang w:val="en-US"/>
              </w:rPr>
            </w:pPr>
            <w:r w:rsidRPr="004B333B">
              <w:rPr>
                <w:rFonts w:asciiTheme="minorHAnsi" w:hAnsiTheme="minorHAnsi"/>
                <w:noProof/>
                <w:lang w:val="en-US"/>
              </w:rPr>
              <w:t>Amphetamines ≥ 50 ng/ml</w:t>
            </w:r>
          </w:p>
        </w:tc>
        <w:tc>
          <w:tcPr>
            <w:tcW w:w="964" w:type="dxa"/>
          </w:tcPr>
          <w:p w:rsidR="00D41950" w:rsidRPr="004B333B" w:rsidRDefault="00D41950" w:rsidP="009C1D0D">
            <w:pPr>
              <w:pStyle w:val="textetableau"/>
              <w:keepNext/>
              <w:ind w:right="227"/>
              <w:jc w:val="right"/>
              <w:rPr>
                <w:rFonts w:asciiTheme="minorHAnsi" w:hAnsiTheme="minorHAnsi"/>
                <w:noProof/>
                <w:lang w:val="en-US"/>
              </w:rPr>
            </w:pPr>
            <w:r w:rsidRPr="004B333B">
              <w:rPr>
                <w:rFonts w:asciiTheme="minorHAnsi" w:hAnsiTheme="minorHAnsi"/>
                <w:noProof/>
                <w:lang w:val="en-US"/>
              </w:rPr>
              <w:t>10</w:t>
            </w:r>
          </w:p>
        </w:tc>
        <w:tc>
          <w:tcPr>
            <w:tcW w:w="1245" w:type="dxa"/>
          </w:tcPr>
          <w:p w:rsidR="00D41950" w:rsidRPr="004B333B" w:rsidRDefault="00D41950" w:rsidP="009C1D0D">
            <w:pPr>
              <w:pStyle w:val="textetableau"/>
              <w:keepNext/>
              <w:ind w:right="170"/>
              <w:jc w:val="right"/>
              <w:rPr>
                <w:rFonts w:asciiTheme="minorHAnsi" w:hAnsiTheme="minorHAnsi"/>
                <w:noProof/>
                <w:lang w:val="en-US"/>
              </w:rPr>
            </w:pPr>
            <w:r w:rsidRPr="004B333B">
              <w:rPr>
                <w:rFonts w:asciiTheme="minorHAnsi" w:hAnsiTheme="minorHAnsi"/>
                <w:noProof/>
                <w:lang w:val="en-US"/>
              </w:rPr>
              <w:t>0.3%</w:t>
            </w:r>
          </w:p>
        </w:tc>
        <w:tc>
          <w:tcPr>
            <w:tcW w:w="1206" w:type="dxa"/>
          </w:tcPr>
          <w:p w:rsidR="00D41950" w:rsidRPr="004B333B" w:rsidRDefault="00D41950" w:rsidP="009C1D0D">
            <w:pPr>
              <w:pStyle w:val="textetableau"/>
              <w:keepNext/>
              <w:ind w:left="85"/>
              <w:jc w:val="center"/>
              <w:rPr>
                <w:rFonts w:asciiTheme="minorHAnsi" w:hAnsiTheme="minorHAnsi"/>
                <w:noProof/>
                <w:lang w:val="en-US"/>
              </w:rPr>
            </w:pPr>
            <w:r w:rsidRPr="004B333B">
              <w:rPr>
                <w:rFonts w:asciiTheme="minorHAnsi" w:hAnsiTheme="minorHAnsi"/>
                <w:noProof/>
                <w:lang w:val="en-US"/>
              </w:rPr>
              <w:t>0.2%</w:t>
            </w:r>
          </w:p>
        </w:tc>
        <w:tc>
          <w:tcPr>
            <w:tcW w:w="1111" w:type="dxa"/>
          </w:tcPr>
          <w:p w:rsidR="00D41950" w:rsidRPr="004B333B" w:rsidRDefault="00D41950" w:rsidP="009C1D0D">
            <w:pPr>
              <w:pStyle w:val="textetableau"/>
              <w:keepNext/>
              <w:jc w:val="right"/>
              <w:rPr>
                <w:rFonts w:asciiTheme="minorHAnsi" w:hAnsiTheme="minorHAnsi"/>
                <w:noProof/>
                <w:lang w:val="en-US"/>
              </w:rPr>
            </w:pPr>
            <w:r w:rsidRPr="004B333B">
              <w:rPr>
                <w:rFonts w:asciiTheme="minorHAnsi" w:hAnsiTheme="minorHAnsi"/>
                <w:noProof/>
                <w:lang w:val="en-US"/>
              </w:rPr>
              <w:t>(1.86)</w:t>
            </w:r>
          </w:p>
        </w:tc>
        <w:tc>
          <w:tcPr>
            <w:tcW w:w="1711" w:type="dxa"/>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0.40 – 8.77</w:t>
            </w:r>
          </w:p>
        </w:tc>
      </w:tr>
      <w:tr w:rsidR="00D41950" w:rsidRPr="004B333B" w:rsidTr="009C1D0D">
        <w:trPr>
          <w:jc w:val="center"/>
        </w:trPr>
        <w:tc>
          <w:tcPr>
            <w:tcW w:w="2592" w:type="dxa"/>
          </w:tcPr>
          <w:p w:rsidR="00D41950" w:rsidRPr="004B333B" w:rsidRDefault="00D41950" w:rsidP="009C1D0D">
            <w:pPr>
              <w:pStyle w:val="textetableau"/>
              <w:keepNext/>
              <w:tabs>
                <w:tab w:val="left" w:pos="2530"/>
              </w:tabs>
              <w:rPr>
                <w:rFonts w:asciiTheme="minorHAnsi" w:hAnsiTheme="minorHAnsi"/>
                <w:noProof/>
                <w:lang w:val="en-US"/>
              </w:rPr>
            </w:pPr>
            <w:r w:rsidRPr="004B333B">
              <w:rPr>
                <w:rFonts w:asciiTheme="minorHAnsi" w:hAnsiTheme="minorHAnsi"/>
                <w:noProof/>
                <w:lang w:val="en-US"/>
              </w:rPr>
              <w:t>Cocaine ≥ 50 ng/ml</w:t>
            </w:r>
          </w:p>
        </w:tc>
        <w:tc>
          <w:tcPr>
            <w:tcW w:w="964" w:type="dxa"/>
          </w:tcPr>
          <w:p w:rsidR="00D41950" w:rsidRPr="004B333B" w:rsidRDefault="00D41950" w:rsidP="009C1D0D">
            <w:pPr>
              <w:pStyle w:val="textetableau"/>
              <w:keepNext/>
              <w:ind w:right="227"/>
              <w:jc w:val="right"/>
              <w:rPr>
                <w:rFonts w:asciiTheme="minorHAnsi" w:hAnsiTheme="minorHAnsi"/>
                <w:noProof/>
                <w:lang w:val="en-US"/>
              </w:rPr>
            </w:pPr>
            <w:r w:rsidRPr="004B333B">
              <w:rPr>
                <w:rFonts w:asciiTheme="minorHAnsi" w:hAnsiTheme="minorHAnsi"/>
                <w:noProof/>
                <w:lang w:val="en-US"/>
              </w:rPr>
              <w:t>12</w:t>
            </w:r>
          </w:p>
        </w:tc>
        <w:tc>
          <w:tcPr>
            <w:tcW w:w="1245" w:type="dxa"/>
          </w:tcPr>
          <w:p w:rsidR="00D41950" w:rsidRPr="004B333B" w:rsidRDefault="00D41950" w:rsidP="009C1D0D">
            <w:pPr>
              <w:pStyle w:val="textetableau"/>
              <w:keepNext/>
              <w:ind w:right="170"/>
              <w:jc w:val="right"/>
              <w:rPr>
                <w:rFonts w:asciiTheme="minorHAnsi" w:hAnsiTheme="minorHAnsi"/>
                <w:noProof/>
                <w:lang w:val="en-US"/>
              </w:rPr>
            </w:pPr>
            <w:r w:rsidRPr="004B333B">
              <w:rPr>
                <w:rFonts w:asciiTheme="minorHAnsi" w:hAnsiTheme="minorHAnsi"/>
                <w:noProof/>
                <w:lang w:val="en-US"/>
              </w:rPr>
              <w:t>0.4%</w:t>
            </w:r>
          </w:p>
        </w:tc>
        <w:tc>
          <w:tcPr>
            <w:tcW w:w="1206" w:type="dxa"/>
          </w:tcPr>
          <w:p w:rsidR="00D41950" w:rsidRPr="004B333B" w:rsidRDefault="00D41950" w:rsidP="009C1D0D">
            <w:pPr>
              <w:pStyle w:val="textetableau"/>
              <w:keepNext/>
              <w:ind w:left="85"/>
              <w:jc w:val="center"/>
              <w:rPr>
                <w:rFonts w:asciiTheme="minorHAnsi" w:hAnsiTheme="minorHAnsi"/>
                <w:noProof/>
                <w:lang w:val="en-US"/>
              </w:rPr>
            </w:pPr>
            <w:r w:rsidRPr="004B333B">
              <w:rPr>
                <w:rFonts w:asciiTheme="minorHAnsi" w:hAnsiTheme="minorHAnsi"/>
                <w:noProof/>
                <w:lang w:val="en-US"/>
              </w:rPr>
              <w:t>0.2%</w:t>
            </w:r>
          </w:p>
        </w:tc>
        <w:tc>
          <w:tcPr>
            <w:tcW w:w="1111" w:type="dxa"/>
          </w:tcPr>
          <w:p w:rsidR="00D41950" w:rsidRPr="004B333B" w:rsidRDefault="00D41950" w:rsidP="009C1D0D">
            <w:pPr>
              <w:pStyle w:val="textetableau"/>
              <w:keepNext/>
              <w:jc w:val="right"/>
              <w:rPr>
                <w:rFonts w:asciiTheme="minorHAnsi" w:hAnsiTheme="minorHAnsi"/>
                <w:noProof/>
                <w:lang w:val="en-US"/>
              </w:rPr>
            </w:pPr>
            <w:r w:rsidRPr="004B333B">
              <w:rPr>
                <w:rFonts w:asciiTheme="minorHAnsi" w:hAnsiTheme="minorHAnsi"/>
                <w:noProof/>
                <w:lang w:val="en-US"/>
              </w:rPr>
              <w:t>(2.33)</w:t>
            </w:r>
          </w:p>
        </w:tc>
        <w:tc>
          <w:tcPr>
            <w:tcW w:w="1711" w:type="dxa"/>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0.51 – 10.7</w:t>
            </w:r>
          </w:p>
        </w:tc>
      </w:tr>
      <w:tr w:rsidR="00D41950" w:rsidRPr="004B333B" w:rsidTr="009C1D0D">
        <w:trPr>
          <w:trHeight w:val="261"/>
          <w:jc w:val="center"/>
        </w:trPr>
        <w:tc>
          <w:tcPr>
            <w:tcW w:w="2592" w:type="dxa"/>
          </w:tcPr>
          <w:p w:rsidR="00D41950" w:rsidRPr="004B333B" w:rsidRDefault="00D41950" w:rsidP="009C1D0D">
            <w:pPr>
              <w:pStyle w:val="textetableau"/>
              <w:keepNext/>
              <w:tabs>
                <w:tab w:val="left" w:pos="2530"/>
              </w:tabs>
              <w:rPr>
                <w:rFonts w:asciiTheme="minorHAnsi" w:hAnsiTheme="minorHAnsi"/>
                <w:noProof/>
                <w:lang w:val="en-US"/>
              </w:rPr>
            </w:pPr>
            <w:r w:rsidRPr="004B333B">
              <w:rPr>
                <w:rFonts w:asciiTheme="minorHAnsi" w:hAnsiTheme="minorHAnsi"/>
                <w:noProof/>
                <w:lang w:val="en-US"/>
              </w:rPr>
              <w:t xml:space="preserve">Opiates ≥ 20 ng/ml </w:t>
            </w:r>
          </w:p>
        </w:tc>
        <w:tc>
          <w:tcPr>
            <w:tcW w:w="964" w:type="dxa"/>
          </w:tcPr>
          <w:p w:rsidR="00D41950" w:rsidRPr="004B333B" w:rsidRDefault="00D41950" w:rsidP="009C1D0D">
            <w:pPr>
              <w:pStyle w:val="textetableau"/>
              <w:keepNext/>
              <w:ind w:right="227"/>
              <w:jc w:val="right"/>
              <w:rPr>
                <w:rFonts w:asciiTheme="minorHAnsi" w:hAnsiTheme="minorHAnsi"/>
                <w:noProof/>
                <w:lang w:val="en-US"/>
              </w:rPr>
            </w:pPr>
            <w:r w:rsidRPr="004B333B">
              <w:rPr>
                <w:rFonts w:asciiTheme="minorHAnsi" w:hAnsiTheme="minorHAnsi"/>
                <w:noProof/>
                <w:lang w:val="en-US"/>
              </w:rPr>
              <w:t>43</w:t>
            </w:r>
          </w:p>
        </w:tc>
        <w:tc>
          <w:tcPr>
            <w:tcW w:w="1245" w:type="dxa"/>
          </w:tcPr>
          <w:p w:rsidR="00D41950" w:rsidRPr="004B333B" w:rsidRDefault="00D41950" w:rsidP="009C1D0D">
            <w:pPr>
              <w:pStyle w:val="textetableau"/>
              <w:keepNext/>
              <w:ind w:right="170"/>
              <w:jc w:val="right"/>
              <w:rPr>
                <w:rFonts w:asciiTheme="minorHAnsi" w:hAnsiTheme="minorHAnsi"/>
                <w:noProof/>
                <w:lang w:val="en-US"/>
              </w:rPr>
            </w:pPr>
            <w:r w:rsidRPr="004B333B">
              <w:rPr>
                <w:rFonts w:asciiTheme="minorHAnsi" w:hAnsiTheme="minorHAnsi"/>
                <w:noProof/>
                <w:lang w:val="en-US"/>
              </w:rPr>
              <w:t>1.2%</w:t>
            </w:r>
          </w:p>
        </w:tc>
        <w:tc>
          <w:tcPr>
            <w:tcW w:w="1206" w:type="dxa"/>
          </w:tcPr>
          <w:p w:rsidR="00D41950" w:rsidRPr="004B333B" w:rsidRDefault="00D41950" w:rsidP="009C1D0D">
            <w:pPr>
              <w:pStyle w:val="textetableau"/>
              <w:keepNext/>
              <w:ind w:left="85"/>
              <w:jc w:val="center"/>
              <w:rPr>
                <w:rFonts w:asciiTheme="minorHAnsi" w:hAnsiTheme="minorHAnsi"/>
                <w:noProof/>
                <w:lang w:val="en-US"/>
              </w:rPr>
            </w:pPr>
            <w:r w:rsidRPr="004B333B">
              <w:rPr>
                <w:rFonts w:asciiTheme="minorHAnsi" w:hAnsiTheme="minorHAnsi"/>
                <w:noProof/>
                <w:lang w:val="en-US"/>
              </w:rPr>
              <w:t>0.8%</w:t>
            </w:r>
          </w:p>
        </w:tc>
        <w:tc>
          <w:tcPr>
            <w:tcW w:w="1111" w:type="dxa"/>
          </w:tcPr>
          <w:p w:rsidR="00D41950" w:rsidRPr="004B333B" w:rsidRDefault="00D41950" w:rsidP="009C1D0D">
            <w:pPr>
              <w:pStyle w:val="textetableau"/>
              <w:keepNext/>
              <w:jc w:val="right"/>
              <w:rPr>
                <w:rFonts w:asciiTheme="minorHAnsi" w:hAnsiTheme="minorHAnsi"/>
                <w:noProof/>
                <w:lang w:val="en-US"/>
              </w:rPr>
            </w:pPr>
            <w:r w:rsidRPr="004B333B">
              <w:rPr>
                <w:rFonts w:asciiTheme="minorHAnsi" w:hAnsiTheme="minorHAnsi"/>
                <w:noProof/>
                <w:lang w:val="en-US"/>
              </w:rPr>
              <w:t>(1.54)</w:t>
            </w:r>
          </w:p>
        </w:tc>
        <w:tc>
          <w:tcPr>
            <w:tcW w:w="1711" w:type="dxa"/>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0.76 – 3.14</w:t>
            </w:r>
          </w:p>
        </w:tc>
      </w:tr>
      <w:tr w:rsidR="00D41950" w:rsidRPr="004B333B" w:rsidTr="009C1D0D">
        <w:trPr>
          <w:jc w:val="center"/>
        </w:trPr>
        <w:tc>
          <w:tcPr>
            <w:tcW w:w="2592" w:type="dxa"/>
            <w:tcBorders>
              <w:bottom w:val="single" w:sz="4" w:space="0" w:color="auto"/>
            </w:tcBorders>
          </w:tcPr>
          <w:p w:rsidR="00D41950" w:rsidRPr="004B333B" w:rsidRDefault="00D41950" w:rsidP="009C1D0D">
            <w:pPr>
              <w:pStyle w:val="textetableau"/>
              <w:keepNext/>
              <w:tabs>
                <w:tab w:val="left" w:pos="2530"/>
              </w:tabs>
              <w:rPr>
                <w:rFonts w:asciiTheme="minorHAnsi" w:hAnsiTheme="minorHAnsi"/>
                <w:noProof/>
                <w:lang w:val="en-US"/>
              </w:rPr>
            </w:pPr>
            <w:r w:rsidRPr="004B333B">
              <w:rPr>
                <w:rFonts w:asciiTheme="minorHAnsi" w:hAnsiTheme="minorHAnsi"/>
                <w:noProof/>
                <w:lang w:val="en-US"/>
              </w:rPr>
              <w:t>Alcohol ≥ 0.5 g/l</w:t>
            </w:r>
          </w:p>
        </w:tc>
        <w:tc>
          <w:tcPr>
            <w:tcW w:w="964" w:type="dxa"/>
            <w:tcBorders>
              <w:bottom w:val="single" w:sz="4" w:space="0" w:color="auto"/>
            </w:tcBorders>
          </w:tcPr>
          <w:p w:rsidR="00D41950" w:rsidRPr="004B333B" w:rsidRDefault="00D41950" w:rsidP="009C1D0D">
            <w:pPr>
              <w:pStyle w:val="textetableau"/>
              <w:keepNext/>
              <w:ind w:right="227"/>
              <w:jc w:val="right"/>
              <w:rPr>
                <w:rFonts w:asciiTheme="minorHAnsi" w:hAnsiTheme="minorHAnsi"/>
                <w:noProof/>
                <w:lang w:val="en-US"/>
              </w:rPr>
            </w:pPr>
            <w:r w:rsidRPr="004B333B">
              <w:rPr>
                <w:rFonts w:asciiTheme="minorHAnsi" w:hAnsiTheme="minorHAnsi"/>
                <w:noProof/>
                <w:lang w:val="en-US"/>
              </w:rPr>
              <w:t>775</w:t>
            </w:r>
          </w:p>
        </w:tc>
        <w:tc>
          <w:tcPr>
            <w:tcW w:w="1245" w:type="dxa"/>
            <w:tcBorders>
              <w:bottom w:val="single" w:sz="4" w:space="0" w:color="auto"/>
            </w:tcBorders>
          </w:tcPr>
          <w:p w:rsidR="00D41950" w:rsidRPr="004B333B" w:rsidRDefault="00D41950" w:rsidP="009C1D0D">
            <w:pPr>
              <w:pStyle w:val="textetableau"/>
              <w:keepNext/>
              <w:ind w:right="170"/>
              <w:jc w:val="right"/>
              <w:rPr>
                <w:rFonts w:asciiTheme="minorHAnsi" w:hAnsiTheme="minorHAnsi"/>
                <w:noProof/>
                <w:lang w:val="en-US"/>
              </w:rPr>
            </w:pPr>
            <w:r w:rsidRPr="004B333B">
              <w:rPr>
                <w:rFonts w:asciiTheme="minorHAnsi" w:hAnsiTheme="minorHAnsi"/>
                <w:noProof/>
                <w:lang w:val="en-US"/>
              </w:rPr>
              <w:t>27.0%</w:t>
            </w:r>
          </w:p>
        </w:tc>
        <w:tc>
          <w:tcPr>
            <w:tcW w:w="1206" w:type="dxa"/>
            <w:tcBorders>
              <w:bottom w:val="single" w:sz="4" w:space="0" w:color="auto"/>
            </w:tcBorders>
          </w:tcPr>
          <w:p w:rsidR="00D41950" w:rsidRPr="004B333B" w:rsidRDefault="00D41950" w:rsidP="009C1D0D">
            <w:pPr>
              <w:pStyle w:val="textetableau"/>
              <w:keepNext/>
              <w:ind w:left="85"/>
              <w:jc w:val="center"/>
              <w:rPr>
                <w:rFonts w:asciiTheme="minorHAnsi" w:hAnsiTheme="minorHAnsi"/>
                <w:noProof/>
                <w:lang w:val="en-US"/>
              </w:rPr>
            </w:pPr>
            <w:r w:rsidRPr="004B333B">
              <w:rPr>
                <w:rFonts w:asciiTheme="minorHAnsi" w:hAnsiTheme="minorHAnsi"/>
                <w:noProof/>
                <w:lang w:val="en-US"/>
              </w:rPr>
              <w:t>4.2%</w:t>
            </w:r>
          </w:p>
        </w:tc>
        <w:tc>
          <w:tcPr>
            <w:tcW w:w="1111" w:type="dxa"/>
            <w:tcBorders>
              <w:bottom w:val="single" w:sz="4" w:space="0" w:color="auto"/>
            </w:tcBorders>
          </w:tcPr>
          <w:p w:rsidR="00D41950" w:rsidRPr="004B333B" w:rsidRDefault="00D41950" w:rsidP="009C1D0D">
            <w:pPr>
              <w:pStyle w:val="textetableau"/>
              <w:keepNext/>
              <w:jc w:val="right"/>
              <w:rPr>
                <w:rFonts w:asciiTheme="minorHAnsi" w:hAnsiTheme="minorHAnsi"/>
                <w:noProof/>
                <w:lang w:val="en-US"/>
              </w:rPr>
            </w:pPr>
            <w:r w:rsidRPr="004B333B">
              <w:rPr>
                <w:rFonts w:asciiTheme="minorHAnsi" w:hAnsiTheme="minorHAnsi"/>
                <w:noProof/>
                <w:lang w:val="en-US"/>
              </w:rPr>
              <w:t>8.50</w:t>
            </w:r>
          </w:p>
        </w:tc>
        <w:tc>
          <w:tcPr>
            <w:tcW w:w="1711" w:type="dxa"/>
            <w:tcBorders>
              <w:bottom w:val="single" w:sz="4" w:space="0" w:color="auto"/>
            </w:tcBorders>
          </w:tcPr>
          <w:p w:rsidR="00D41950" w:rsidRPr="004B333B" w:rsidRDefault="00D41950" w:rsidP="009C1D0D">
            <w:pPr>
              <w:pStyle w:val="textetableau"/>
              <w:keepNext/>
              <w:jc w:val="center"/>
              <w:rPr>
                <w:rFonts w:asciiTheme="minorHAnsi" w:hAnsiTheme="minorHAnsi"/>
                <w:noProof/>
                <w:lang w:val="en-US"/>
              </w:rPr>
            </w:pPr>
            <w:r w:rsidRPr="004B333B">
              <w:rPr>
                <w:rFonts w:asciiTheme="minorHAnsi" w:hAnsiTheme="minorHAnsi"/>
                <w:noProof/>
                <w:lang w:val="en-US"/>
              </w:rPr>
              <w:t>6.36 – 11.4</w:t>
            </w:r>
          </w:p>
        </w:tc>
      </w:tr>
    </w:tbl>
    <w:p w:rsidR="00D41950" w:rsidRPr="004B333B" w:rsidRDefault="00D41950" w:rsidP="00D41950">
      <w:pPr>
        <w:rPr>
          <w:noProof/>
          <w:szCs w:val="20"/>
          <w:lang w:val="en-US"/>
        </w:rPr>
      </w:pPr>
    </w:p>
    <w:p w:rsidR="00D41950" w:rsidRPr="004B333B" w:rsidRDefault="00D41950" w:rsidP="00D41950">
      <w:pPr>
        <w:pStyle w:val="paragraphen"/>
      </w:pPr>
      <w:r w:rsidRPr="004B333B">
        <w:t xml:space="preserve">Compared to the present Table 2, the OR related to opiates is no longer significant, that related to cannabis is similar, and that related to alcohol is weaker. </w:t>
      </w:r>
    </w:p>
    <w:p w:rsidR="00D41950" w:rsidRPr="004B333B" w:rsidRDefault="00D41950" w:rsidP="00D41950">
      <w:pPr>
        <w:pStyle w:val="paragraphen"/>
      </w:pPr>
    </w:p>
    <w:p w:rsidR="00D41950" w:rsidRPr="004B333B" w:rsidRDefault="009B017C" w:rsidP="00D41950">
      <w:pPr>
        <w:pStyle w:val="Lgende"/>
        <w:keepNext/>
        <w:rPr>
          <w:b w:val="0"/>
          <w:noProof/>
          <w:szCs w:val="20"/>
          <w:lang w:val="en-US"/>
        </w:rPr>
      </w:pPr>
      <w:r>
        <w:rPr>
          <w:noProof/>
          <w:szCs w:val="20"/>
          <w:lang w:val="en-US"/>
        </w:rPr>
        <w:t xml:space="preserve">S1 </w:t>
      </w:r>
      <w:r w:rsidR="00D41950" w:rsidRPr="004B333B">
        <w:rPr>
          <w:noProof/>
          <w:szCs w:val="20"/>
          <w:lang w:val="en-US"/>
        </w:rPr>
        <w:t>Table 4-A: Increased risk of driver responsibility when driving under the influence (legal limits): OR adjusted for all co-factors</w:t>
      </w:r>
      <w:r w:rsidR="00D41950" w:rsidRPr="004B333B">
        <w:rPr>
          <w:noProof/>
          <w:szCs w:val="20"/>
          <w:vertAlign w:val="superscript"/>
          <w:lang w:val="en-US"/>
        </w:rPr>
        <w:t>*</w:t>
      </w:r>
      <w:r w:rsidR="00D41950" w:rsidRPr="004B333B">
        <w:rPr>
          <w:noProof/>
          <w:szCs w:val="20"/>
          <w:lang w:val="en-US"/>
        </w:rPr>
        <w:t xml:space="preserve"> and prevalences</w:t>
      </w:r>
      <w:r w:rsidR="00D41950" w:rsidRPr="004B333B">
        <w:rPr>
          <w:noProof/>
          <w:szCs w:val="20"/>
          <w:lang w:val="en-US"/>
        </w:rPr>
        <w:br/>
        <w:t>(n=3,910</w:t>
      </w:r>
      <w:r w:rsidR="00D41950" w:rsidRPr="004B333B">
        <w:rPr>
          <w:noProof/>
          <w:szCs w:val="20"/>
          <w:vertAlign w:val="superscript"/>
          <w:lang w:val="en-US"/>
        </w:rPr>
        <w:t>**</w:t>
      </w:r>
      <w:r w:rsidR="00D41950" w:rsidRPr="004B333B">
        <w:rPr>
          <w:noProof/>
          <w:szCs w:val="20"/>
          <w:lang w:val="en-US"/>
        </w:rPr>
        <w:t>. Voiesur 2011 data, fatal accidents)</w:t>
      </w:r>
    </w:p>
    <w:tbl>
      <w:tblPr>
        <w:tblW w:w="4449" w:type="dxa"/>
        <w:jc w:val="center"/>
        <w:tblCellMar>
          <w:left w:w="70" w:type="dxa"/>
          <w:right w:w="70" w:type="dxa"/>
        </w:tblCellMar>
        <w:tblLook w:val="04A0" w:firstRow="1" w:lastRow="0" w:firstColumn="1" w:lastColumn="0" w:noHBand="0" w:noVBand="1"/>
      </w:tblPr>
      <w:tblGrid>
        <w:gridCol w:w="2534"/>
        <w:gridCol w:w="594"/>
        <w:gridCol w:w="1321"/>
      </w:tblGrid>
      <w:tr w:rsidR="00D41950" w:rsidRPr="004B333B" w:rsidTr="009C1D0D">
        <w:trPr>
          <w:jc w:val="center"/>
        </w:trPr>
        <w:tc>
          <w:tcPr>
            <w:tcW w:w="2534" w:type="dxa"/>
            <w:tcBorders>
              <w:top w:val="single" w:sz="8" w:space="0" w:color="auto"/>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p>
        </w:tc>
        <w:tc>
          <w:tcPr>
            <w:tcW w:w="594" w:type="dxa"/>
            <w:tcBorders>
              <w:top w:val="single" w:sz="8" w:space="0" w:color="auto"/>
              <w:left w:val="nil"/>
              <w:bottom w:val="nil"/>
              <w:right w:val="nil"/>
            </w:tcBorders>
            <w:shd w:val="clear" w:color="auto" w:fill="auto"/>
            <w:vAlign w:val="center"/>
            <w:hideMark/>
          </w:tcPr>
          <w:p w:rsidR="00D41950" w:rsidRPr="004B333B" w:rsidRDefault="00D41950" w:rsidP="009C1D0D">
            <w:pPr>
              <w:keepNext/>
              <w:jc w:val="righ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OR</w:t>
            </w:r>
          </w:p>
        </w:tc>
        <w:tc>
          <w:tcPr>
            <w:tcW w:w="1321" w:type="dxa"/>
            <w:tcBorders>
              <w:top w:val="single" w:sz="8" w:space="0" w:color="auto"/>
              <w:left w:val="nil"/>
              <w:bottom w:val="nil"/>
              <w:right w:val="nil"/>
            </w:tcBorders>
            <w:shd w:val="clear" w:color="auto" w:fill="auto"/>
            <w:vAlign w:val="center"/>
            <w:hideMark/>
          </w:tcPr>
          <w:p w:rsidR="00D41950" w:rsidRPr="004B333B" w:rsidRDefault="00D41950" w:rsidP="009C1D0D">
            <w:pPr>
              <w:keepNext/>
              <w:jc w:val="center"/>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95% CI</w:t>
            </w:r>
          </w:p>
        </w:tc>
      </w:tr>
      <w:tr w:rsidR="00D41950" w:rsidRPr="004B333B" w:rsidTr="009C1D0D">
        <w:trPr>
          <w:jc w:val="center"/>
        </w:trPr>
        <w:tc>
          <w:tcPr>
            <w:tcW w:w="2534" w:type="dxa"/>
            <w:tcBorders>
              <w:top w:val="single" w:sz="8" w:space="0" w:color="auto"/>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THC &lt; 1 ng/l</w:t>
            </w:r>
          </w:p>
        </w:tc>
        <w:tc>
          <w:tcPr>
            <w:tcW w:w="594" w:type="dxa"/>
            <w:tcBorders>
              <w:top w:val="single" w:sz="8" w:space="0" w:color="auto"/>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w:t>
            </w:r>
          </w:p>
        </w:tc>
        <w:tc>
          <w:tcPr>
            <w:tcW w:w="1321" w:type="dxa"/>
            <w:tcBorders>
              <w:top w:val="single" w:sz="8" w:space="0" w:color="auto"/>
              <w:left w:val="nil"/>
              <w:bottom w:val="nil"/>
              <w:right w:val="nil"/>
            </w:tcBorders>
            <w:shd w:val="clear" w:color="auto" w:fill="auto"/>
            <w:hideMark/>
          </w:tcPr>
          <w:p w:rsidR="00D41950" w:rsidRPr="004B333B" w:rsidRDefault="00D41950" w:rsidP="009C1D0D">
            <w:pPr>
              <w:pStyle w:val="Ligne"/>
              <w:keepNext/>
              <w:jc w:val="right"/>
              <w:rPr>
                <w:noProof/>
                <w:lang w:val="en-US"/>
              </w:rPr>
            </w:pPr>
          </w:p>
        </w:tc>
      </w:tr>
      <w:tr w:rsidR="00D41950" w:rsidRPr="004B333B" w:rsidTr="009C1D0D">
        <w:trPr>
          <w:jc w:val="center"/>
        </w:trPr>
        <w:tc>
          <w:tcPr>
            <w:tcW w:w="2534" w:type="dxa"/>
            <w:tcBorders>
              <w:top w:val="nil"/>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1 ≤ THC &lt; 3 ng/l</w:t>
            </w:r>
          </w:p>
        </w:tc>
        <w:tc>
          <w:tcPr>
            <w:tcW w:w="594"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1.40</w:t>
            </w:r>
          </w:p>
        </w:tc>
        <w:tc>
          <w:tcPr>
            <w:tcW w:w="1321"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0.87 -2.23</w:t>
            </w:r>
          </w:p>
        </w:tc>
      </w:tr>
      <w:tr w:rsidR="00D41950" w:rsidRPr="004B333B" w:rsidTr="009C1D0D">
        <w:trPr>
          <w:jc w:val="center"/>
        </w:trPr>
        <w:tc>
          <w:tcPr>
            <w:tcW w:w="2534" w:type="dxa"/>
            <w:tcBorders>
              <w:top w:val="nil"/>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3 ≤ THC &lt; 5 ng/l</w:t>
            </w:r>
          </w:p>
        </w:tc>
        <w:tc>
          <w:tcPr>
            <w:tcW w:w="594"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1.92</w:t>
            </w:r>
          </w:p>
        </w:tc>
        <w:tc>
          <w:tcPr>
            <w:tcW w:w="1321"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0.84 -4.42</w:t>
            </w:r>
          </w:p>
        </w:tc>
      </w:tr>
      <w:tr w:rsidR="00D41950" w:rsidRPr="004B333B" w:rsidTr="009C1D0D">
        <w:trPr>
          <w:jc w:val="center"/>
        </w:trPr>
        <w:tc>
          <w:tcPr>
            <w:tcW w:w="2534" w:type="dxa"/>
            <w:tcBorders>
              <w:top w:val="nil"/>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THC ≥ 5 ng/l</w:t>
            </w:r>
          </w:p>
        </w:tc>
        <w:tc>
          <w:tcPr>
            <w:tcW w:w="594"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2.47</w:t>
            </w:r>
          </w:p>
        </w:tc>
        <w:tc>
          <w:tcPr>
            <w:tcW w:w="1321"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1.20 -5.09</w:t>
            </w:r>
          </w:p>
        </w:tc>
      </w:tr>
      <w:tr w:rsidR="00D41950" w:rsidRPr="004B333B" w:rsidTr="009C1D0D">
        <w:trPr>
          <w:jc w:val="center"/>
        </w:trPr>
        <w:tc>
          <w:tcPr>
            <w:tcW w:w="2534" w:type="dxa"/>
            <w:tcBorders>
              <w:top w:val="nil"/>
              <w:left w:val="nil"/>
              <w:bottom w:val="single" w:sz="8" w:space="0" w:color="auto"/>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 xml:space="preserve">All doses THC ≥ 1 </w:t>
            </w:r>
            <w:r w:rsidRPr="004B333B">
              <w:rPr>
                <w:rFonts w:eastAsia="Times New Roman" w:cs="Times New Roman"/>
                <w:noProof/>
                <w:szCs w:val="20"/>
                <w:lang w:val="en-US" w:eastAsia="fr-FR"/>
              </w:rPr>
              <w:t>ng/ml</w:t>
            </w:r>
          </w:p>
        </w:tc>
        <w:tc>
          <w:tcPr>
            <w:tcW w:w="594"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1.72</w:t>
            </w:r>
          </w:p>
        </w:tc>
        <w:tc>
          <w:tcPr>
            <w:tcW w:w="1321"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1.20 -2.48</w:t>
            </w:r>
          </w:p>
        </w:tc>
      </w:tr>
      <w:tr w:rsidR="00D41950" w:rsidRPr="004B333B" w:rsidTr="009C1D0D">
        <w:trPr>
          <w:jc w:val="center"/>
        </w:trPr>
        <w:tc>
          <w:tcPr>
            <w:tcW w:w="2534" w:type="dxa"/>
            <w:tcBorders>
              <w:top w:val="nil"/>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 xml:space="preserve"> Alc &lt; 0.5 g/l</w:t>
            </w:r>
          </w:p>
        </w:tc>
        <w:tc>
          <w:tcPr>
            <w:tcW w:w="594"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w:t>
            </w:r>
          </w:p>
        </w:tc>
        <w:tc>
          <w:tcPr>
            <w:tcW w:w="1321"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p>
        </w:tc>
      </w:tr>
      <w:tr w:rsidR="00D41950" w:rsidRPr="004B333B" w:rsidTr="009C1D0D">
        <w:trPr>
          <w:jc w:val="center"/>
        </w:trPr>
        <w:tc>
          <w:tcPr>
            <w:tcW w:w="2534" w:type="dxa"/>
            <w:tcBorders>
              <w:top w:val="nil"/>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0.5 ≤ Alc &lt;0.8 g/l</w:t>
            </w:r>
          </w:p>
        </w:tc>
        <w:tc>
          <w:tcPr>
            <w:tcW w:w="594"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5.60</w:t>
            </w:r>
          </w:p>
        </w:tc>
        <w:tc>
          <w:tcPr>
            <w:tcW w:w="1321"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2.22 -14.1</w:t>
            </w:r>
          </w:p>
        </w:tc>
      </w:tr>
      <w:tr w:rsidR="00D41950" w:rsidRPr="004B333B" w:rsidTr="009C1D0D">
        <w:trPr>
          <w:jc w:val="center"/>
        </w:trPr>
        <w:tc>
          <w:tcPr>
            <w:tcW w:w="2534" w:type="dxa"/>
            <w:tcBorders>
              <w:top w:val="nil"/>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0.8 ≤ Alc &lt; 1.2 g/l</w:t>
            </w:r>
          </w:p>
        </w:tc>
        <w:tc>
          <w:tcPr>
            <w:tcW w:w="594"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6.52</w:t>
            </w:r>
          </w:p>
        </w:tc>
        <w:tc>
          <w:tcPr>
            <w:tcW w:w="1321"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3.48 -12.2</w:t>
            </w:r>
          </w:p>
        </w:tc>
      </w:tr>
      <w:tr w:rsidR="00D41950" w:rsidRPr="004B333B" w:rsidTr="009C1D0D">
        <w:trPr>
          <w:jc w:val="center"/>
        </w:trPr>
        <w:tc>
          <w:tcPr>
            <w:tcW w:w="2534" w:type="dxa"/>
            <w:tcBorders>
              <w:top w:val="nil"/>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1.2 ≤ Alc &lt; 2 g/l</w:t>
            </w:r>
          </w:p>
        </w:tc>
        <w:tc>
          <w:tcPr>
            <w:tcW w:w="594"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6.06</w:t>
            </w:r>
          </w:p>
        </w:tc>
        <w:tc>
          <w:tcPr>
            <w:tcW w:w="1321"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3.80 -9.66</w:t>
            </w:r>
          </w:p>
        </w:tc>
      </w:tr>
      <w:tr w:rsidR="00D41950" w:rsidRPr="004B333B" w:rsidTr="009C1D0D">
        <w:trPr>
          <w:jc w:val="center"/>
        </w:trPr>
        <w:tc>
          <w:tcPr>
            <w:tcW w:w="2534" w:type="dxa"/>
            <w:tcBorders>
              <w:top w:val="nil"/>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Alc ≥ 2 g/l</w:t>
            </w:r>
          </w:p>
        </w:tc>
        <w:tc>
          <w:tcPr>
            <w:tcW w:w="594"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10.4</w:t>
            </w:r>
          </w:p>
        </w:tc>
        <w:tc>
          <w:tcPr>
            <w:tcW w:w="1321"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5.93 -18.1</w:t>
            </w:r>
          </w:p>
        </w:tc>
      </w:tr>
      <w:tr w:rsidR="00D41950" w:rsidRPr="004B333B" w:rsidTr="009C1D0D">
        <w:trPr>
          <w:jc w:val="center"/>
        </w:trPr>
        <w:tc>
          <w:tcPr>
            <w:tcW w:w="2534" w:type="dxa"/>
            <w:tcBorders>
              <w:top w:val="nil"/>
              <w:left w:val="nil"/>
              <w:bottom w:val="single" w:sz="8" w:space="0" w:color="auto"/>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All doses ALC ≥ 0.5 g/l</w:t>
            </w:r>
          </w:p>
        </w:tc>
        <w:tc>
          <w:tcPr>
            <w:tcW w:w="594"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7.27</w:t>
            </w:r>
          </w:p>
        </w:tc>
        <w:tc>
          <w:tcPr>
            <w:tcW w:w="1321"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5.33 -9.93</w:t>
            </w:r>
          </w:p>
        </w:tc>
      </w:tr>
      <w:tr w:rsidR="00D41950" w:rsidRPr="004B333B" w:rsidTr="009C1D0D">
        <w:trPr>
          <w:jc w:val="center"/>
        </w:trPr>
        <w:tc>
          <w:tcPr>
            <w:tcW w:w="2534" w:type="dxa"/>
            <w:tcBorders>
              <w:top w:val="nil"/>
              <w:left w:val="nil"/>
              <w:bottom w:val="nil"/>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 xml:space="preserve">OPI &lt; 20 </w:t>
            </w:r>
            <w:r w:rsidRPr="004B333B">
              <w:rPr>
                <w:rFonts w:eastAsia="Times New Roman" w:cs="Times New Roman"/>
                <w:noProof/>
                <w:szCs w:val="20"/>
                <w:lang w:val="en-US" w:eastAsia="fr-FR"/>
              </w:rPr>
              <w:t>ng/ml</w:t>
            </w:r>
          </w:p>
        </w:tc>
        <w:tc>
          <w:tcPr>
            <w:tcW w:w="594"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w:t>
            </w:r>
          </w:p>
        </w:tc>
        <w:tc>
          <w:tcPr>
            <w:tcW w:w="1321" w:type="dxa"/>
            <w:tcBorders>
              <w:top w:val="nil"/>
              <w:left w:val="nil"/>
              <w:bottom w:val="nil"/>
              <w:right w:val="nil"/>
            </w:tcBorders>
            <w:shd w:val="clear" w:color="auto" w:fill="auto"/>
            <w:hideMark/>
          </w:tcPr>
          <w:p w:rsidR="00D41950" w:rsidRPr="004B333B" w:rsidRDefault="00D41950" w:rsidP="009C1D0D">
            <w:pPr>
              <w:pStyle w:val="Ligne"/>
              <w:keepNext/>
              <w:jc w:val="right"/>
              <w:rPr>
                <w:noProof/>
                <w:lang w:val="en-US"/>
              </w:rPr>
            </w:pPr>
          </w:p>
        </w:tc>
      </w:tr>
      <w:tr w:rsidR="00D41950" w:rsidRPr="004B333B" w:rsidTr="009C1D0D">
        <w:trPr>
          <w:jc w:val="center"/>
        </w:trPr>
        <w:tc>
          <w:tcPr>
            <w:tcW w:w="2534" w:type="dxa"/>
            <w:tcBorders>
              <w:top w:val="nil"/>
              <w:left w:val="nil"/>
              <w:bottom w:val="single" w:sz="8" w:space="0" w:color="auto"/>
              <w:right w:val="nil"/>
            </w:tcBorders>
            <w:shd w:val="clear" w:color="auto" w:fill="auto"/>
            <w:vAlign w:val="center"/>
            <w:hideMark/>
          </w:tcPr>
          <w:p w:rsidR="00D41950" w:rsidRPr="004B333B" w:rsidRDefault="00D41950" w:rsidP="009C1D0D">
            <w:pPr>
              <w:keepNext/>
              <w:rPr>
                <w:rFonts w:ascii="Calibri" w:eastAsia="Times New Roman" w:hAnsi="Calibri" w:cs="Times New Roman"/>
                <w:noProof/>
                <w:color w:val="000000"/>
                <w:szCs w:val="20"/>
                <w:lang w:val="en-US" w:eastAsia="fr-FR"/>
              </w:rPr>
            </w:pPr>
            <w:r w:rsidRPr="004B333B">
              <w:rPr>
                <w:rFonts w:ascii="Calibri" w:eastAsia="Times New Roman" w:hAnsi="Calibri" w:cs="Times New Roman"/>
                <w:noProof/>
                <w:color w:val="000000"/>
                <w:szCs w:val="20"/>
                <w:lang w:val="en-US" w:eastAsia="fr-FR"/>
              </w:rPr>
              <w:t xml:space="preserve">OPI ≥ 20 </w:t>
            </w:r>
            <w:r w:rsidRPr="004B333B">
              <w:rPr>
                <w:rFonts w:eastAsia="Times New Roman" w:cs="Times New Roman"/>
                <w:noProof/>
                <w:szCs w:val="20"/>
                <w:lang w:val="en-US" w:eastAsia="fr-FR"/>
              </w:rPr>
              <w:t>ng/ml</w:t>
            </w:r>
          </w:p>
        </w:tc>
        <w:tc>
          <w:tcPr>
            <w:tcW w:w="594"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1.48</w:t>
            </w:r>
          </w:p>
        </w:tc>
        <w:tc>
          <w:tcPr>
            <w:tcW w:w="1321" w:type="dxa"/>
            <w:tcBorders>
              <w:top w:val="nil"/>
              <w:left w:val="nil"/>
              <w:bottom w:val="single" w:sz="8" w:space="0" w:color="auto"/>
              <w:right w:val="nil"/>
            </w:tcBorders>
            <w:shd w:val="clear" w:color="auto" w:fill="auto"/>
            <w:hideMark/>
          </w:tcPr>
          <w:p w:rsidR="00D41950" w:rsidRPr="004B333B" w:rsidRDefault="00D41950" w:rsidP="009C1D0D">
            <w:pPr>
              <w:pStyle w:val="Ligne"/>
              <w:keepNext/>
              <w:jc w:val="right"/>
              <w:rPr>
                <w:noProof/>
                <w:lang w:val="en-US"/>
              </w:rPr>
            </w:pPr>
            <w:r w:rsidRPr="004B333B">
              <w:rPr>
                <w:noProof/>
                <w:lang w:val="en-US"/>
              </w:rPr>
              <w:t>0.71 -3.09</w:t>
            </w:r>
          </w:p>
        </w:tc>
      </w:tr>
    </w:tbl>
    <w:p w:rsidR="00D41950" w:rsidRPr="004B333B" w:rsidRDefault="00D41950" w:rsidP="00D41950">
      <w:pPr>
        <w:keepNext/>
        <w:ind w:left="708"/>
        <w:rPr>
          <w:noProof/>
          <w:szCs w:val="20"/>
          <w:lang w:val="en-US"/>
        </w:rPr>
      </w:pPr>
      <w:r w:rsidRPr="004B333B">
        <w:rPr>
          <w:noProof/>
          <w:szCs w:val="20"/>
          <w:vertAlign w:val="superscript"/>
          <w:lang w:val="en-US"/>
        </w:rPr>
        <w:t>*</w:t>
      </w:r>
      <w:r w:rsidRPr="004B333B">
        <w:rPr>
          <w:noProof/>
          <w:szCs w:val="20"/>
          <w:lang w:val="en-US"/>
        </w:rPr>
        <w:t>Co-factors included in the model: age, gender, vehicle category, time of accident</w:t>
      </w:r>
      <w:r w:rsidRPr="004B333B">
        <w:rPr>
          <w:noProof/>
          <w:szCs w:val="20"/>
          <w:lang w:val="en-US"/>
        </w:rPr>
        <w:br/>
      </w:r>
      <w:r w:rsidRPr="004B333B">
        <w:rPr>
          <w:noProof/>
          <w:szCs w:val="20"/>
          <w:vertAlign w:val="superscript"/>
          <w:lang w:val="en-US"/>
        </w:rPr>
        <w:t>**</w:t>
      </w:r>
      <w:r w:rsidRPr="004B333B">
        <w:rPr>
          <w:noProof/>
          <w:szCs w:val="20"/>
          <w:lang w:val="en-US"/>
        </w:rPr>
        <w:t>Known alcohol and narcotic status, R&amp;D responsibility determined and age known (2,670 responsible, 1,240 non-responsible)</w:t>
      </w:r>
    </w:p>
    <w:p w:rsidR="00D41950" w:rsidRPr="004B333B" w:rsidRDefault="00D41950" w:rsidP="00D41950">
      <w:pPr>
        <w:pStyle w:val="paragraphen"/>
      </w:pPr>
    </w:p>
    <w:p w:rsidR="00D41950" w:rsidRPr="004B333B" w:rsidRDefault="00D41950" w:rsidP="00D41950">
      <w:pPr>
        <w:pStyle w:val="paragraphen"/>
      </w:pPr>
      <w:r w:rsidRPr="004B333B">
        <w:t xml:space="preserve">Concerning the adjusted OR values, two differences are to be noted: the effect related to opiates is no longer significant, and the effect related to alcohol is still high, but much less than with the use of expert-assessed responsibility. Even so, as explained in Appendix </w:t>
      </w:r>
      <w:r w:rsidR="009B017C">
        <w:t>S</w:t>
      </w:r>
      <w:r w:rsidRPr="004B333B">
        <w:t>2, we were able to confirm that the experts who determined responsibility did not take account of drivers’ alcohol status (which, of course, would have led to an over-estimation of the alcohol risk). It is therefore likely that the use of responsibility in Roberston and Drummer’s sense leads to an under-estimation of the OR for driving under the influence of alcohol, taking much less account of the driving errors often made by drivers under the influence of alcohol.</w:t>
      </w:r>
      <w:bookmarkStart w:id="0" w:name="_GoBack"/>
      <w:bookmarkEnd w:id="0"/>
    </w:p>
    <w:sectPr w:rsidR="00D41950" w:rsidRPr="004B333B" w:rsidSect="00BF63F1">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50"/>
    <w:rsid w:val="00171116"/>
    <w:rsid w:val="005C321D"/>
    <w:rsid w:val="009B017C"/>
    <w:rsid w:val="00BF63F1"/>
    <w:rsid w:val="00D41950"/>
    <w:rsid w:val="00D43D66"/>
    <w:rsid w:val="00DB3FDE"/>
    <w:rsid w:val="00ED1D05"/>
    <w:rsid w:val="00ED5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50"/>
    <w:pPr>
      <w:spacing w:after="0" w:line="240" w:lineRule="auto"/>
    </w:pPr>
    <w:rPr>
      <w:sz w:val="20"/>
      <w:szCs w:val="24"/>
      <w:lang w:val="en-GB"/>
    </w:rPr>
  </w:style>
  <w:style w:type="paragraph" w:styleId="Titre1">
    <w:name w:val="heading 1"/>
    <w:basedOn w:val="Normal"/>
    <w:next w:val="Normal"/>
    <w:link w:val="Titre1Car"/>
    <w:uiPriority w:val="9"/>
    <w:qFormat/>
    <w:rsid w:val="00D41950"/>
    <w:pPr>
      <w:keepNext/>
      <w:keepLines/>
      <w:spacing w:before="240" w:after="240"/>
      <w:jc w:val="both"/>
      <w:outlineLvl w:val="0"/>
    </w:pPr>
    <w:rPr>
      <w:rFonts w:ascii="Cambria" w:eastAsiaTheme="majorEastAsia" w:hAnsi="Cambria" w:cstheme="majorBidi"/>
      <w:b/>
      <w:bCs/>
      <w:sz w:val="36"/>
      <w:szCs w:val="28"/>
      <w:lang w:val="fr-FR"/>
    </w:rPr>
  </w:style>
  <w:style w:type="paragraph" w:styleId="Titre2">
    <w:name w:val="heading 2"/>
    <w:basedOn w:val="Normal"/>
    <w:next w:val="Normal"/>
    <w:link w:val="Titre2Car"/>
    <w:uiPriority w:val="9"/>
    <w:unhideWhenUsed/>
    <w:qFormat/>
    <w:rsid w:val="00D41950"/>
    <w:pPr>
      <w:keepNext/>
      <w:keepLines/>
      <w:spacing w:before="200" w:after="120"/>
      <w:jc w:val="both"/>
      <w:outlineLvl w:val="1"/>
    </w:pPr>
    <w:rPr>
      <w:rFonts w:ascii="Cambria" w:eastAsiaTheme="majorEastAsia" w:hAnsi="Cambria" w:cstheme="majorBidi"/>
      <w:b/>
      <w:bCs/>
      <w:sz w:val="32"/>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950"/>
    <w:rPr>
      <w:rFonts w:ascii="Cambria" w:eastAsiaTheme="majorEastAsia" w:hAnsi="Cambria" w:cstheme="majorBidi"/>
      <w:b/>
      <w:bCs/>
      <w:sz w:val="36"/>
      <w:szCs w:val="28"/>
    </w:rPr>
  </w:style>
  <w:style w:type="character" w:customStyle="1" w:styleId="Titre2Car">
    <w:name w:val="Titre 2 Car"/>
    <w:basedOn w:val="Policepardfaut"/>
    <w:link w:val="Titre2"/>
    <w:uiPriority w:val="9"/>
    <w:rsid w:val="00D41950"/>
    <w:rPr>
      <w:rFonts w:ascii="Cambria" w:eastAsiaTheme="majorEastAsia" w:hAnsi="Cambria" w:cstheme="majorBidi"/>
      <w:b/>
      <w:bCs/>
      <w:sz w:val="32"/>
      <w:szCs w:val="26"/>
    </w:rPr>
  </w:style>
  <w:style w:type="paragraph" w:styleId="Lgende">
    <w:name w:val="caption"/>
    <w:basedOn w:val="Normal"/>
    <w:next w:val="Normal"/>
    <w:uiPriority w:val="35"/>
    <w:unhideWhenUsed/>
    <w:qFormat/>
    <w:rsid w:val="00D41950"/>
    <w:pPr>
      <w:jc w:val="center"/>
    </w:pPr>
    <w:rPr>
      <w:b/>
      <w:bCs/>
      <w:szCs w:val="18"/>
      <w:lang w:val="fr-FR"/>
    </w:rPr>
  </w:style>
  <w:style w:type="paragraph" w:customStyle="1" w:styleId="textetableau">
    <w:name w:val="texte tableau"/>
    <w:basedOn w:val="Normal"/>
    <w:rsid w:val="00D41950"/>
    <w:pPr>
      <w:jc w:val="both"/>
    </w:pPr>
    <w:rPr>
      <w:rFonts w:ascii="Times New Roman" w:eastAsia="Times New Roman" w:hAnsi="Times New Roman" w:cs="Arial"/>
      <w:szCs w:val="20"/>
      <w:lang w:val="fr-FR" w:eastAsia="fr-FR"/>
    </w:rPr>
  </w:style>
  <w:style w:type="paragraph" w:customStyle="1" w:styleId="paragraphen">
    <w:name w:val="paragraphe n"/>
    <w:basedOn w:val="Normal"/>
    <w:link w:val="paragraphenCar"/>
    <w:qFormat/>
    <w:rsid w:val="00D41950"/>
    <w:pPr>
      <w:spacing w:line="480" w:lineRule="auto"/>
      <w:ind w:firstLine="340"/>
      <w:jc w:val="both"/>
    </w:pPr>
    <w:rPr>
      <w:rFonts w:ascii="Calibri" w:eastAsia="Calibri" w:hAnsi="Calibri" w:cs="Times New Roman"/>
      <w:noProof/>
      <w:szCs w:val="22"/>
      <w:lang w:val="en-US"/>
    </w:rPr>
  </w:style>
  <w:style w:type="character" w:customStyle="1" w:styleId="paragraphenCar">
    <w:name w:val="paragraphe n Car"/>
    <w:basedOn w:val="Policepardfaut"/>
    <w:link w:val="paragraphen"/>
    <w:rsid w:val="00D41950"/>
    <w:rPr>
      <w:rFonts w:ascii="Calibri" w:eastAsia="Calibri" w:hAnsi="Calibri" w:cs="Times New Roman"/>
      <w:noProof/>
      <w:sz w:val="20"/>
      <w:lang w:val="en-US"/>
    </w:rPr>
  </w:style>
  <w:style w:type="paragraph" w:customStyle="1" w:styleId="Ligne">
    <w:name w:val="Ligne"/>
    <w:basedOn w:val="Normal"/>
    <w:next w:val="Normal"/>
    <w:link w:val="LigneCar"/>
    <w:qFormat/>
    <w:rsid w:val="00D41950"/>
    <w:pPr>
      <w:jc w:val="both"/>
    </w:pPr>
    <w:rPr>
      <w:rFonts w:eastAsia="Times New Roman" w:cs="Times New Roman"/>
      <w:bCs/>
      <w:szCs w:val="20"/>
      <w:lang w:eastAsia="fr-FR"/>
    </w:rPr>
  </w:style>
  <w:style w:type="character" w:customStyle="1" w:styleId="LigneCar">
    <w:name w:val="Ligne Car"/>
    <w:basedOn w:val="Policepardfaut"/>
    <w:link w:val="Ligne"/>
    <w:rsid w:val="00D41950"/>
    <w:rPr>
      <w:rFonts w:eastAsia="Times New Roman" w:cs="Times New Roman"/>
      <w:bCs/>
      <w:sz w:val="20"/>
      <w:szCs w:val="20"/>
      <w:lang w:val="en-GB" w:eastAsia="fr-FR"/>
    </w:rPr>
  </w:style>
  <w:style w:type="character" w:styleId="Numrodeligne">
    <w:name w:val="line number"/>
    <w:basedOn w:val="Policepardfaut"/>
    <w:uiPriority w:val="99"/>
    <w:semiHidden/>
    <w:unhideWhenUsed/>
    <w:rsid w:val="00D41950"/>
  </w:style>
  <w:style w:type="paragraph" w:styleId="Textedebulles">
    <w:name w:val="Balloon Text"/>
    <w:basedOn w:val="Normal"/>
    <w:link w:val="TextedebullesCar"/>
    <w:uiPriority w:val="99"/>
    <w:semiHidden/>
    <w:unhideWhenUsed/>
    <w:rsid w:val="00D41950"/>
    <w:rPr>
      <w:rFonts w:ascii="Tahoma" w:hAnsi="Tahoma" w:cs="Tahoma"/>
      <w:sz w:val="16"/>
      <w:szCs w:val="16"/>
    </w:rPr>
  </w:style>
  <w:style w:type="character" w:customStyle="1" w:styleId="TextedebullesCar">
    <w:name w:val="Texte de bulles Car"/>
    <w:basedOn w:val="Policepardfaut"/>
    <w:link w:val="Textedebulles"/>
    <w:uiPriority w:val="99"/>
    <w:semiHidden/>
    <w:rsid w:val="00D4195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50"/>
    <w:pPr>
      <w:spacing w:after="0" w:line="240" w:lineRule="auto"/>
    </w:pPr>
    <w:rPr>
      <w:sz w:val="20"/>
      <w:szCs w:val="24"/>
      <w:lang w:val="en-GB"/>
    </w:rPr>
  </w:style>
  <w:style w:type="paragraph" w:styleId="Titre1">
    <w:name w:val="heading 1"/>
    <w:basedOn w:val="Normal"/>
    <w:next w:val="Normal"/>
    <w:link w:val="Titre1Car"/>
    <w:uiPriority w:val="9"/>
    <w:qFormat/>
    <w:rsid w:val="00D41950"/>
    <w:pPr>
      <w:keepNext/>
      <w:keepLines/>
      <w:spacing w:before="240" w:after="240"/>
      <w:jc w:val="both"/>
      <w:outlineLvl w:val="0"/>
    </w:pPr>
    <w:rPr>
      <w:rFonts w:ascii="Cambria" w:eastAsiaTheme="majorEastAsia" w:hAnsi="Cambria" w:cstheme="majorBidi"/>
      <w:b/>
      <w:bCs/>
      <w:sz w:val="36"/>
      <w:szCs w:val="28"/>
      <w:lang w:val="fr-FR"/>
    </w:rPr>
  </w:style>
  <w:style w:type="paragraph" w:styleId="Titre2">
    <w:name w:val="heading 2"/>
    <w:basedOn w:val="Normal"/>
    <w:next w:val="Normal"/>
    <w:link w:val="Titre2Car"/>
    <w:uiPriority w:val="9"/>
    <w:unhideWhenUsed/>
    <w:qFormat/>
    <w:rsid w:val="00D41950"/>
    <w:pPr>
      <w:keepNext/>
      <w:keepLines/>
      <w:spacing w:before="200" w:after="120"/>
      <w:jc w:val="both"/>
      <w:outlineLvl w:val="1"/>
    </w:pPr>
    <w:rPr>
      <w:rFonts w:ascii="Cambria" w:eastAsiaTheme="majorEastAsia" w:hAnsi="Cambria" w:cstheme="majorBidi"/>
      <w:b/>
      <w:bCs/>
      <w:sz w:val="32"/>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950"/>
    <w:rPr>
      <w:rFonts w:ascii="Cambria" w:eastAsiaTheme="majorEastAsia" w:hAnsi="Cambria" w:cstheme="majorBidi"/>
      <w:b/>
      <w:bCs/>
      <w:sz w:val="36"/>
      <w:szCs w:val="28"/>
    </w:rPr>
  </w:style>
  <w:style w:type="character" w:customStyle="1" w:styleId="Titre2Car">
    <w:name w:val="Titre 2 Car"/>
    <w:basedOn w:val="Policepardfaut"/>
    <w:link w:val="Titre2"/>
    <w:uiPriority w:val="9"/>
    <w:rsid w:val="00D41950"/>
    <w:rPr>
      <w:rFonts w:ascii="Cambria" w:eastAsiaTheme="majorEastAsia" w:hAnsi="Cambria" w:cstheme="majorBidi"/>
      <w:b/>
      <w:bCs/>
      <w:sz w:val="32"/>
      <w:szCs w:val="26"/>
    </w:rPr>
  </w:style>
  <w:style w:type="paragraph" w:styleId="Lgende">
    <w:name w:val="caption"/>
    <w:basedOn w:val="Normal"/>
    <w:next w:val="Normal"/>
    <w:uiPriority w:val="35"/>
    <w:unhideWhenUsed/>
    <w:qFormat/>
    <w:rsid w:val="00D41950"/>
    <w:pPr>
      <w:jc w:val="center"/>
    </w:pPr>
    <w:rPr>
      <w:b/>
      <w:bCs/>
      <w:szCs w:val="18"/>
      <w:lang w:val="fr-FR"/>
    </w:rPr>
  </w:style>
  <w:style w:type="paragraph" w:customStyle="1" w:styleId="textetableau">
    <w:name w:val="texte tableau"/>
    <w:basedOn w:val="Normal"/>
    <w:rsid w:val="00D41950"/>
    <w:pPr>
      <w:jc w:val="both"/>
    </w:pPr>
    <w:rPr>
      <w:rFonts w:ascii="Times New Roman" w:eastAsia="Times New Roman" w:hAnsi="Times New Roman" w:cs="Arial"/>
      <w:szCs w:val="20"/>
      <w:lang w:val="fr-FR" w:eastAsia="fr-FR"/>
    </w:rPr>
  </w:style>
  <w:style w:type="paragraph" w:customStyle="1" w:styleId="paragraphen">
    <w:name w:val="paragraphe n"/>
    <w:basedOn w:val="Normal"/>
    <w:link w:val="paragraphenCar"/>
    <w:qFormat/>
    <w:rsid w:val="00D41950"/>
    <w:pPr>
      <w:spacing w:line="480" w:lineRule="auto"/>
      <w:ind w:firstLine="340"/>
      <w:jc w:val="both"/>
    </w:pPr>
    <w:rPr>
      <w:rFonts w:ascii="Calibri" w:eastAsia="Calibri" w:hAnsi="Calibri" w:cs="Times New Roman"/>
      <w:noProof/>
      <w:szCs w:val="22"/>
      <w:lang w:val="en-US"/>
    </w:rPr>
  </w:style>
  <w:style w:type="character" w:customStyle="1" w:styleId="paragraphenCar">
    <w:name w:val="paragraphe n Car"/>
    <w:basedOn w:val="Policepardfaut"/>
    <w:link w:val="paragraphen"/>
    <w:rsid w:val="00D41950"/>
    <w:rPr>
      <w:rFonts w:ascii="Calibri" w:eastAsia="Calibri" w:hAnsi="Calibri" w:cs="Times New Roman"/>
      <w:noProof/>
      <w:sz w:val="20"/>
      <w:lang w:val="en-US"/>
    </w:rPr>
  </w:style>
  <w:style w:type="paragraph" w:customStyle="1" w:styleId="Ligne">
    <w:name w:val="Ligne"/>
    <w:basedOn w:val="Normal"/>
    <w:next w:val="Normal"/>
    <w:link w:val="LigneCar"/>
    <w:qFormat/>
    <w:rsid w:val="00D41950"/>
    <w:pPr>
      <w:jc w:val="both"/>
    </w:pPr>
    <w:rPr>
      <w:rFonts w:eastAsia="Times New Roman" w:cs="Times New Roman"/>
      <w:bCs/>
      <w:szCs w:val="20"/>
      <w:lang w:eastAsia="fr-FR"/>
    </w:rPr>
  </w:style>
  <w:style w:type="character" w:customStyle="1" w:styleId="LigneCar">
    <w:name w:val="Ligne Car"/>
    <w:basedOn w:val="Policepardfaut"/>
    <w:link w:val="Ligne"/>
    <w:rsid w:val="00D41950"/>
    <w:rPr>
      <w:rFonts w:eastAsia="Times New Roman" w:cs="Times New Roman"/>
      <w:bCs/>
      <w:sz w:val="20"/>
      <w:szCs w:val="20"/>
      <w:lang w:val="en-GB" w:eastAsia="fr-FR"/>
    </w:rPr>
  </w:style>
  <w:style w:type="character" w:styleId="Numrodeligne">
    <w:name w:val="line number"/>
    <w:basedOn w:val="Policepardfaut"/>
    <w:uiPriority w:val="99"/>
    <w:semiHidden/>
    <w:unhideWhenUsed/>
    <w:rsid w:val="00D41950"/>
  </w:style>
  <w:style w:type="paragraph" w:styleId="Textedebulles">
    <w:name w:val="Balloon Text"/>
    <w:basedOn w:val="Normal"/>
    <w:link w:val="TextedebullesCar"/>
    <w:uiPriority w:val="99"/>
    <w:semiHidden/>
    <w:unhideWhenUsed/>
    <w:rsid w:val="00D41950"/>
    <w:rPr>
      <w:rFonts w:ascii="Tahoma" w:hAnsi="Tahoma" w:cs="Tahoma"/>
      <w:sz w:val="16"/>
      <w:szCs w:val="16"/>
    </w:rPr>
  </w:style>
  <w:style w:type="character" w:customStyle="1" w:styleId="TextedebullesCar">
    <w:name w:val="Texte de bulles Car"/>
    <w:basedOn w:val="Policepardfaut"/>
    <w:link w:val="Textedebulles"/>
    <w:uiPriority w:val="99"/>
    <w:semiHidden/>
    <w:rsid w:val="00D4195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Jean-Louis</dc:creator>
  <cp:lastModifiedBy>MARTIN Jean-Louis</cp:lastModifiedBy>
  <cp:revision>3</cp:revision>
  <dcterms:created xsi:type="dcterms:W3CDTF">2017-10-20T15:35:00Z</dcterms:created>
  <dcterms:modified xsi:type="dcterms:W3CDTF">2017-10-20T15:36:00Z</dcterms:modified>
</cp:coreProperties>
</file>