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65" w:rsidRPr="00E04865" w:rsidRDefault="00E04865" w:rsidP="00E04865">
      <w:pPr>
        <w:pStyle w:val="Heading1"/>
        <w:jc w:val="center"/>
      </w:pPr>
      <w:r w:rsidRPr="00E04865">
        <w:t xml:space="preserve">Comparison of quantification from OTU reads and results of </w:t>
      </w:r>
      <w:r>
        <w:t>visual stomach content analysis</w:t>
      </w:r>
    </w:p>
    <w:p w:rsidR="002A5FAD" w:rsidRPr="002A5FAD" w:rsidRDefault="002A5FAD" w:rsidP="002A5FAD">
      <w:pPr>
        <w:pStyle w:val="Heading2"/>
      </w:pPr>
      <w:r>
        <w:t xml:space="preserve">Methods </w:t>
      </w:r>
    </w:p>
    <w:p w:rsidR="002A5FAD" w:rsidRDefault="002A5FAD" w:rsidP="002A5FAD">
      <w:pPr>
        <w:rPr>
          <w:sz w:val="24"/>
        </w:rPr>
      </w:pPr>
      <w:r w:rsidRPr="00447FFC">
        <w:rPr>
          <w:sz w:val="24"/>
        </w:rPr>
        <w:t xml:space="preserve">After sequencing, we </w:t>
      </w:r>
      <w:r w:rsidRPr="00A93BB0">
        <w:rPr>
          <w:sz w:val="24"/>
        </w:rPr>
        <w:t xml:space="preserve">obtained </w:t>
      </w:r>
      <w:r>
        <w:rPr>
          <w:sz w:val="24"/>
        </w:rPr>
        <w:t xml:space="preserve">an OTU table showing the </w:t>
      </w:r>
      <w:r w:rsidRPr="00447FFC">
        <w:rPr>
          <w:sz w:val="24"/>
        </w:rPr>
        <w:t xml:space="preserve">number of reads </w:t>
      </w:r>
      <w:r>
        <w:rPr>
          <w:sz w:val="24"/>
        </w:rPr>
        <w:t>per</w:t>
      </w:r>
      <w:r w:rsidRPr="00A93BB0">
        <w:rPr>
          <w:sz w:val="24"/>
        </w:rPr>
        <w:t xml:space="preserve"> </w:t>
      </w:r>
      <w:r>
        <w:rPr>
          <w:sz w:val="24"/>
        </w:rPr>
        <w:t>taxon found</w:t>
      </w:r>
      <w:r w:rsidRPr="00A93BB0">
        <w:rPr>
          <w:sz w:val="24"/>
        </w:rPr>
        <w:t xml:space="preserve"> </w:t>
      </w:r>
      <w:r w:rsidRPr="00447FFC">
        <w:rPr>
          <w:sz w:val="24"/>
        </w:rPr>
        <w:t xml:space="preserve">in the stomach </w:t>
      </w:r>
      <w:r>
        <w:rPr>
          <w:sz w:val="24"/>
        </w:rPr>
        <w:t>of</w:t>
      </w:r>
      <w:r w:rsidRPr="00447FFC">
        <w:rPr>
          <w:sz w:val="24"/>
        </w:rPr>
        <w:t xml:space="preserve"> each fish. To estimate</w:t>
      </w:r>
      <w:r>
        <w:rPr>
          <w:sz w:val="24"/>
        </w:rPr>
        <w:t xml:space="preserve"> the</w:t>
      </w:r>
      <w:r w:rsidRPr="00447FFC">
        <w:rPr>
          <w:sz w:val="24"/>
        </w:rPr>
        <w:t xml:space="preserve"> relative abundance of a certain prey in the stomach</w:t>
      </w:r>
      <w:r>
        <w:rPr>
          <w:sz w:val="24"/>
        </w:rPr>
        <w:t>,</w:t>
      </w:r>
      <w:r w:rsidRPr="00447FFC">
        <w:rPr>
          <w:sz w:val="24"/>
        </w:rPr>
        <w:t xml:space="preserve"> and to make data from different fish </w:t>
      </w:r>
      <w:bookmarkStart w:id="0" w:name="_GoBack"/>
      <w:bookmarkEnd w:id="0"/>
      <w:r w:rsidRPr="00447FFC">
        <w:rPr>
          <w:sz w:val="24"/>
        </w:rPr>
        <w:t>individuals comparable, numbers of reads were normalized to the total number of reads in each sample</w:t>
      </w:r>
      <w:r>
        <w:rPr>
          <w:sz w:val="24"/>
        </w:rPr>
        <w:t xml:space="preserve"> (individual),</w:t>
      </w:r>
      <w:r w:rsidRPr="00447FFC">
        <w:rPr>
          <w:sz w:val="24"/>
        </w:rPr>
        <w:t xml:space="preserve"> and proportions of different taxa in each stomach were estimated</w:t>
      </w:r>
      <w:r>
        <w:rPr>
          <w:sz w:val="24"/>
        </w:rPr>
        <w:t xml:space="preserve"> (</w:t>
      </w:r>
      <w:r w:rsidRPr="00447FFC">
        <w:rPr>
          <w:sz w:val="24"/>
        </w:rPr>
        <w:t xml:space="preserve">hereafter termed as </w:t>
      </w:r>
      <w:r>
        <w:rPr>
          <w:sz w:val="24"/>
        </w:rPr>
        <w:t>“</w:t>
      </w:r>
      <w:r w:rsidRPr="00447FFC">
        <w:rPr>
          <w:sz w:val="24"/>
        </w:rPr>
        <w:t>%</w:t>
      </w:r>
      <w:proofErr w:type="spellStart"/>
      <w:r w:rsidRPr="00447FFC">
        <w:rPr>
          <w:sz w:val="24"/>
        </w:rPr>
        <w:t>N</w:t>
      </w:r>
      <w:r>
        <w:rPr>
          <w:sz w:val="24"/>
          <w:vertAlign w:val="subscript"/>
        </w:rPr>
        <w:t>bar</w:t>
      </w:r>
      <w:proofErr w:type="spellEnd"/>
      <w:r>
        <w:rPr>
          <w:sz w:val="24"/>
        </w:rPr>
        <w:t>”).</w:t>
      </w:r>
      <w:r w:rsidRPr="00447FFC">
        <w:rPr>
          <w:sz w:val="24"/>
        </w:rPr>
        <w:t xml:space="preserve"> Thus, proportions of prey in the stomachs are based on the number of OTU reads</w:t>
      </w:r>
      <w:r>
        <w:rPr>
          <w:sz w:val="24"/>
        </w:rPr>
        <w:t xml:space="preserve"> per taxon </w:t>
      </w:r>
      <w:r w:rsidRPr="00447FFC">
        <w:rPr>
          <w:sz w:val="24"/>
        </w:rPr>
        <w:t>(%</w:t>
      </w:r>
      <w:proofErr w:type="spellStart"/>
      <w:r w:rsidRPr="00447FFC">
        <w:rPr>
          <w:sz w:val="24"/>
        </w:rPr>
        <w:t>N</w:t>
      </w:r>
      <w:r>
        <w:rPr>
          <w:sz w:val="24"/>
          <w:vertAlign w:val="subscript"/>
        </w:rPr>
        <w:t>bar</w:t>
      </w:r>
      <w:proofErr w:type="spellEnd"/>
      <w:r w:rsidRPr="00447FFC">
        <w:rPr>
          <w:sz w:val="24"/>
        </w:rPr>
        <w:t>)</w:t>
      </w:r>
      <w:r>
        <w:rPr>
          <w:sz w:val="24"/>
        </w:rPr>
        <w:t xml:space="preserve"> (e.g.,</w:t>
      </w:r>
      <w:r w:rsidR="001F4E9F">
        <w:rPr>
          <w:sz w:val="24"/>
        </w:rPr>
        <w:t xml:space="preserve"> </w:t>
      </w:r>
      <w:r w:rsidR="001F4E9F">
        <w:rPr>
          <w:sz w:val="24"/>
        </w:rPr>
        <w:fldChar w:fldCharType="begin" w:fldLock="1"/>
      </w:r>
      <w:r w:rsidR="001F4E9F">
        <w:rPr>
          <w:sz w:val="24"/>
        </w:rPr>
        <w:instrText>ADDIN CSL_CITATION { "citationItems" : [ { "id" : "ITEM-1", "itemData" : { "DOI" : "10.1371/journal.pone.0068128", "ISBN" : "1932-6203", "ISSN" : "19326203", "PMID" : "23826371", "abstract" : "The ecology of small rodent food selection is poorly understood, as mammalian herbivore food selection theory has mainly been developed by studying ungulates. Especially, the effect of food availability on food selection in natural habitats where a range of food items are available is unknown. We studied diets and selectivity of grey-sided voles (Myodes rufocanus) and tundra voles (Microtus oeconomus), key herbivores in European tundra ecosystems, using DNA metabarcoding, a novel method enabling taxonomically detailed diet studies. In order to cover the range of food availabilities present in the wild, we employed a large-scale study design for sampling data on food availability and vole diets. Both vole species had ingested a range of plant species and selected particularly forbs and grasses. Grey-sided voles also selected ericoid shrubs and tundra voles willows. Availability of a food item rarely affected its utilization directly, although seasonal changes of diets and selection suggest that these are positively correlated with availability. Moreover, diets and selectivity were affected by availability of alternative food items. These results show that the focal sub-arctic voles have diverse diets and flexible food preferences and rarely compensate low availability of a food item with increased searching effort. Diet diversity itself is likely to be an important trait and has previously been underrated owing to methodological constraints. We suggest that the roles of alternative food item availability and search time limitations for small rodent feeding ecology should be investiagted.", "author" : [ { "dropping-particle" : "", "family" : "Soininen", "given" : "Eeva M.", "non-dropping-particle" : "", "parse-names" : false, "suffix" : "" }, { "dropping-particle" : "", "family" : "Ravolainen", "given" : "Virve T.", "non-dropping-particle" : "", "parse-names" : false, "suffix" : "" }, { "dropping-particle" : "", "family" : "Br\u00e5then", "given" : "Kari Anne", "non-dropping-particle" : "", "parse-names" : false, "suffix" : "" }, { "dropping-particle" : "", "family" : "Yoccoz", "given" : "Nigel G.", "non-dropping-particle" : "", "parse-names" : false, "suffix" : "" }, { "dropping-particle" : "", "family" : "Gielly", "given" : "Ludovic", "non-dropping-particle" : "", "parse-names" : false, "suffix" : "" }, { "dropping-particle" : "", "family" : "Ims", "given" : "Rolf A.", "non-dropping-particle" : "", "parse-names" : false, "suffix" : "" } ], "container-title" : "PLoS ONE", "id" : "ITEM-1", "issue" : "6", "issued" : { "date-parts" : [ [ "2013" ] ] }, "title" : "Arctic Small Rodents Have Diverse Diets and Flexible Food Selection", "type" : "article-journal", "volume" : "8" }, "uris" : [ "http://www.mendeley.com/documents/?uuid=84c653ce-3cd8-4e2b-8d5b-a49adedd57e5" ] } ], "mendeley" : { "formattedCitation" : "[1]", "plainTextFormattedCitation" : "[1]", "previouslyFormattedCitation" : "[1]" }, "properties" : { "noteIndex" : 0 }, "schema" : "https://github.com/citation-style-language/schema/raw/master/csl-citation.json" }</w:instrText>
      </w:r>
      <w:r w:rsidR="001F4E9F">
        <w:rPr>
          <w:sz w:val="24"/>
        </w:rPr>
        <w:fldChar w:fldCharType="separate"/>
      </w:r>
      <w:r w:rsidR="001F4E9F" w:rsidRPr="001F4E9F">
        <w:rPr>
          <w:noProof/>
          <w:sz w:val="24"/>
        </w:rPr>
        <w:t>[1]</w:t>
      </w:r>
      <w:r w:rsidR="001F4E9F">
        <w:rPr>
          <w:sz w:val="24"/>
        </w:rPr>
        <w:fldChar w:fldCharType="end"/>
      </w:r>
      <w:r>
        <w:rPr>
          <w:sz w:val="24"/>
        </w:rPr>
        <w:t>)</w:t>
      </w:r>
      <w:r w:rsidRPr="00447FFC">
        <w:rPr>
          <w:sz w:val="24"/>
        </w:rPr>
        <w:t>.</w:t>
      </w:r>
      <w:r w:rsidR="00913F9B" w:rsidRPr="00913F9B">
        <w:t xml:space="preserve"> </w:t>
      </w:r>
      <w:r w:rsidR="00913F9B" w:rsidRPr="00913F9B">
        <w:rPr>
          <w:sz w:val="24"/>
        </w:rPr>
        <w:t>Frequency of occurrence was also estimated - %</w:t>
      </w:r>
      <w:proofErr w:type="spellStart"/>
      <w:r w:rsidR="00913F9B" w:rsidRPr="00913F9B">
        <w:rPr>
          <w:sz w:val="24"/>
        </w:rPr>
        <w:t>Fbar</w:t>
      </w:r>
      <w:proofErr w:type="spellEnd"/>
      <w:r w:rsidR="00913F9B" w:rsidRPr="00913F9B">
        <w:rPr>
          <w:sz w:val="24"/>
        </w:rPr>
        <w:t>, the percentage of stomachs in which a prey (OTU) was present.</w:t>
      </w:r>
    </w:p>
    <w:p w:rsidR="002A5FAD" w:rsidRDefault="00FD1C05" w:rsidP="002A5FAD">
      <w:pPr>
        <w:pStyle w:val="Heading2"/>
      </w:pPr>
      <w:r>
        <w:t>Results</w:t>
      </w:r>
    </w:p>
    <w:p w:rsidR="00913F9B" w:rsidRDefault="00913F9B" w:rsidP="00913F9B">
      <w:pPr>
        <w:rPr>
          <w:sz w:val="24"/>
        </w:rPr>
      </w:pPr>
      <w:r>
        <w:rPr>
          <w:sz w:val="24"/>
        </w:rPr>
        <w:t xml:space="preserve">As revealed by barcoding, </w:t>
      </w:r>
      <w:proofErr w:type="spellStart"/>
      <w:r w:rsidRPr="00692845">
        <w:rPr>
          <w:sz w:val="24"/>
        </w:rPr>
        <w:t>Insecta</w:t>
      </w:r>
      <w:proofErr w:type="spellEnd"/>
      <w:r w:rsidRPr="00692845">
        <w:rPr>
          <w:sz w:val="24"/>
        </w:rPr>
        <w:t xml:space="preserve"> (</w:t>
      </w:r>
      <w:proofErr w:type="spellStart"/>
      <w:r w:rsidRPr="00692845">
        <w:rPr>
          <w:sz w:val="24"/>
        </w:rPr>
        <w:t>chironomids</w:t>
      </w:r>
      <w:proofErr w:type="spellEnd"/>
      <w:r w:rsidRPr="00692845">
        <w:rPr>
          <w:sz w:val="24"/>
        </w:rPr>
        <w:t xml:space="preserve">), </w:t>
      </w:r>
      <w:proofErr w:type="spellStart"/>
      <w:r w:rsidRPr="00692845">
        <w:rPr>
          <w:sz w:val="24"/>
        </w:rPr>
        <w:t>Maxillipoda</w:t>
      </w:r>
      <w:proofErr w:type="spellEnd"/>
      <w:r w:rsidRPr="00692845">
        <w:rPr>
          <w:sz w:val="24"/>
        </w:rPr>
        <w:t xml:space="preserve"> (harpacticoid</w:t>
      </w:r>
      <w:r>
        <w:rPr>
          <w:sz w:val="24"/>
        </w:rPr>
        <w:t xml:space="preserve"> copepods</w:t>
      </w:r>
      <w:r w:rsidRPr="00692845">
        <w:rPr>
          <w:sz w:val="24"/>
        </w:rPr>
        <w:t xml:space="preserve">) and </w:t>
      </w:r>
      <w:proofErr w:type="spellStart"/>
      <w:r w:rsidRPr="00692845">
        <w:rPr>
          <w:sz w:val="24"/>
        </w:rPr>
        <w:t>Branchiopoda</w:t>
      </w:r>
      <w:proofErr w:type="spellEnd"/>
      <w:r w:rsidRPr="00692845">
        <w:rPr>
          <w:sz w:val="24"/>
        </w:rPr>
        <w:t xml:space="preserve"> (</w:t>
      </w:r>
      <w:proofErr w:type="spellStart"/>
      <w:r w:rsidRPr="00692845">
        <w:rPr>
          <w:sz w:val="24"/>
        </w:rPr>
        <w:t>cladocerans</w:t>
      </w:r>
      <w:proofErr w:type="spellEnd"/>
      <w:r w:rsidRPr="00692845">
        <w:rPr>
          <w:sz w:val="24"/>
        </w:rPr>
        <w:t xml:space="preserve">) </w:t>
      </w:r>
      <w:r>
        <w:rPr>
          <w:sz w:val="24"/>
        </w:rPr>
        <w:t>were</w:t>
      </w:r>
      <w:r w:rsidRPr="00692845">
        <w:rPr>
          <w:sz w:val="24"/>
        </w:rPr>
        <w:t xml:space="preserve"> the </w:t>
      </w:r>
      <w:r>
        <w:rPr>
          <w:sz w:val="24"/>
        </w:rPr>
        <w:t>dominating</w:t>
      </w:r>
      <w:r w:rsidRPr="00692845">
        <w:rPr>
          <w:sz w:val="24"/>
        </w:rPr>
        <w:t xml:space="preserve"> food</w:t>
      </w:r>
      <w:r>
        <w:rPr>
          <w:sz w:val="24"/>
        </w:rPr>
        <w:t xml:space="preserve"> items, comprising 48%, 19% and 15% of all prey respectively (Fig A1</w:t>
      </w:r>
      <w:r w:rsidRPr="00447FFC">
        <w:rPr>
          <w:sz w:val="24"/>
        </w:rPr>
        <w:t xml:space="preserve">). At </w:t>
      </w:r>
      <w:r>
        <w:rPr>
          <w:sz w:val="24"/>
        </w:rPr>
        <w:t xml:space="preserve">the </w:t>
      </w:r>
      <w:r w:rsidRPr="00447FFC">
        <w:rPr>
          <w:sz w:val="24"/>
        </w:rPr>
        <w:t>species level, the main prey</w:t>
      </w:r>
      <w:r>
        <w:rPr>
          <w:sz w:val="24"/>
        </w:rPr>
        <w:t xml:space="preserve"> </w:t>
      </w:r>
      <w:r w:rsidRPr="00447FFC">
        <w:rPr>
          <w:sz w:val="24"/>
        </w:rPr>
        <w:t xml:space="preserve">were </w:t>
      </w:r>
      <w:r>
        <w:rPr>
          <w:sz w:val="24"/>
        </w:rPr>
        <w:t xml:space="preserve">the </w:t>
      </w:r>
      <w:proofErr w:type="spellStart"/>
      <w:r>
        <w:rPr>
          <w:sz w:val="24"/>
        </w:rPr>
        <w:t>chironomid</w:t>
      </w:r>
      <w:proofErr w:type="spellEnd"/>
      <w:r>
        <w:rPr>
          <w:sz w:val="24"/>
        </w:rPr>
        <w:t xml:space="preserve"> </w:t>
      </w:r>
      <w:proofErr w:type="spellStart"/>
      <w:r w:rsidRPr="00913F9B">
        <w:rPr>
          <w:i/>
          <w:sz w:val="24"/>
        </w:rPr>
        <w:t>Tanytarsus</w:t>
      </w:r>
      <w:proofErr w:type="spellEnd"/>
      <w:r w:rsidRPr="00913F9B">
        <w:rPr>
          <w:i/>
          <w:sz w:val="24"/>
        </w:rPr>
        <w:t xml:space="preserve"> </w:t>
      </w:r>
      <w:proofErr w:type="spellStart"/>
      <w:r w:rsidRPr="00913F9B">
        <w:rPr>
          <w:i/>
          <w:sz w:val="24"/>
        </w:rPr>
        <w:t>usmaensis</w:t>
      </w:r>
      <w:proofErr w:type="spellEnd"/>
      <w:r w:rsidRPr="00913F9B">
        <w:rPr>
          <w:sz w:val="24"/>
        </w:rPr>
        <w:t>,</w:t>
      </w:r>
      <w:r>
        <w:rPr>
          <w:sz w:val="24"/>
        </w:rPr>
        <w:t xml:space="preserve"> the harpacticoid </w:t>
      </w:r>
      <w:proofErr w:type="spellStart"/>
      <w:r w:rsidRPr="00913F9B">
        <w:rPr>
          <w:i/>
          <w:sz w:val="24"/>
        </w:rPr>
        <w:t>Tachidius</w:t>
      </w:r>
      <w:proofErr w:type="spellEnd"/>
      <w:r w:rsidRPr="00913F9B">
        <w:rPr>
          <w:i/>
          <w:sz w:val="24"/>
        </w:rPr>
        <w:t xml:space="preserve"> </w:t>
      </w:r>
      <w:proofErr w:type="spellStart"/>
      <w:r w:rsidRPr="00913F9B">
        <w:rPr>
          <w:i/>
          <w:sz w:val="24"/>
        </w:rPr>
        <w:t>discipes</w:t>
      </w:r>
      <w:proofErr w:type="spellEnd"/>
      <w:r w:rsidRPr="00913F9B">
        <w:rPr>
          <w:sz w:val="24"/>
        </w:rPr>
        <w:t xml:space="preserve">, </w:t>
      </w:r>
      <w:r>
        <w:rPr>
          <w:sz w:val="24"/>
        </w:rPr>
        <w:t xml:space="preserve">and the </w:t>
      </w:r>
      <w:proofErr w:type="spellStart"/>
      <w:r>
        <w:rPr>
          <w:sz w:val="24"/>
        </w:rPr>
        <w:t>cladoceran</w:t>
      </w:r>
      <w:proofErr w:type="spellEnd"/>
      <w:r w:rsidRPr="00447FFC">
        <w:rPr>
          <w:sz w:val="24"/>
        </w:rPr>
        <w:t xml:space="preserve"> </w:t>
      </w:r>
      <w:proofErr w:type="spellStart"/>
      <w:r w:rsidRPr="00913F9B">
        <w:rPr>
          <w:i/>
          <w:sz w:val="24"/>
        </w:rPr>
        <w:t>Pleopis</w:t>
      </w:r>
      <w:proofErr w:type="spellEnd"/>
      <w:r w:rsidRPr="00913F9B">
        <w:rPr>
          <w:i/>
          <w:sz w:val="24"/>
        </w:rPr>
        <w:t xml:space="preserve"> </w:t>
      </w:r>
      <w:proofErr w:type="spellStart"/>
      <w:r w:rsidRPr="00913F9B">
        <w:rPr>
          <w:i/>
          <w:sz w:val="24"/>
        </w:rPr>
        <w:t>polyphemoides</w:t>
      </w:r>
      <w:proofErr w:type="spellEnd"/>
      <w:r>
        <w:rPr>
          <w:sz w:val="24"/>
        </w:rPr>
        <w:t xml:space="preserve"> (Fig</w:t>
      </w:r>
      <w:r w:rsidRPr="00447FFC">
        <w:rPr>
          <w:sz w:val="24"/>
        </w:rPr>
        <w:t xml:space="preserve"> </w:t>
      </w:r>
      <w:r>
        <w:rPr>
          <w:sz w:val="24"/>
        </w:rPr>
        <w:t>A2</w:t>
      </w:r>
      <w:r w:rsidRPr="00447FFC">
        <w:rPr>
          <w:sz w:val="24"/>
        </w:rPr>
        <w:t xml:space="preserve">). </w:t>
      </w:r>
    </w:p>
    <w:p w:rsidR="001F4E9F" w:rsidRDefault="001F4E9F" w:rsidP="002A5FAD"/>
    <w:p w:rsidR="001F4E9F" w:rsidRDefault="00913F9B" w:rsidP="002A5FAD">
      <w:r>
        <w:rPr>
          <w:noProof/>
          <w:lang w:val="lt-LT" w:eastAsia="lt-LT"/>
        </w:rPr>
        <w:drawing>
          <wp:inline distT="0" distB="0" distL="0" distR="0" wp14:anchorId="412AE0EF" wp14:editId="54579789">
            <wp:extent cx="4779034" cy="3001993"/>
            <wp:effectExtent l="0" t="0" r="254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5FAD" w:rsidRPr="008A6F83" w:rsidRDefault="002A5FAD" w:rsidP="002A5FAD">
      <w:pPr>
        <w:spacing w:line="240" w:lineRule="auto"/>
        <w:jc w:val="both"/>
        <w:rPr>
          <w:sz w:val="24"/>
        </w:rPr>
      </w:pPr>
      <w:r w:rsidRPr="00452779">
        <w:rPr>
          <w:b/>
          <w:sz w:val="24"/>
        </w:rPr>
        <w:t xml:space="preserve">Fig </w:t>
      </w:r>
      <w:r>
        <w:rPr>
          <w:b/>
          <w:sz w:val="24"/>
        </w:rPr>
        <w:t>A1</w:t>
      </w:r>
      <w:r w:rsidRPr="008A6F83">
        <w:rPr>
          <w:sz w:val="24"/>
        </w:rPr>
        <w:t xml:space="preserve">. </w:t>
      </w:r>
      <w:r w:rsidRPr="00452779">
        <w:rPr>
          <w:b/>
          <w:sz w:val="24"/>
        </w:rPr>
        <w:t>Proportion of different classes in stomachs based on number of OTU reads (%</w:t>
      </w:r>
      <w:proofErr w:type="spellStart"/>
      <w:r w:rsidRPr="00452779">
        <w:rPr>
          <w:b/>
          <w:sz w:val="24"/>
        </w:rPr>
        <w:t>N</w:t>
      </w:r>
      <w:r w:rsidRPr="00452779">
        <w:rPr>
          <w:b/>
          <w:sz w:val="24"/>
          <w:vertAlign w:val="subscript"/>
        </w:rPr>
        <w:t>bar</w:t>
      </w:r>
      <w:proofErr w:type="spellEnd"/>
      <w:r w:rsidRPr="00452779">
        <w:rPr>
          <w:b/>
          <w:sz w:val="24"/>
        </w:rPr>
        <w:t>).</w:t>
      </w:r>
      <w:r w:rsidRPr="008A6F83">
        <w:rPr>
          <w:sz w:val="24"/>
        </w:rPr>
        <w:t xml:space="preserve"> Only classes with &gt;1% of OTU reads are shown.  </w:t>
      </w:r>
    </w:p>
    <w:p w:rsidR="00913F9B" w:rsidRDefault="00913F9B" w:rsidP="002A5FAD">
      <w:pPr>
        <w:keepNext/>
        <w:spacing w:line="240" w:lineRule="auto"/>
        <w:rPr>
          <w:b/>
          <w:sz w:val="24"/>
        </w:rPr>
      </w:pPr>
      <w:r w:rsidRPr="00913F9B">
        <w:rPr>
          <w:i/>
          <w:noProof/>
          <w:lang w:val="lt-LT" w:eastAsia="lt-LT"/>
        </w:rPr>
        <w:lastRenderedPageBreak/>
        <w:drawing>
          <wp:inline distT="0" distB="0" distL="0" distR="0" wp14:anchorId="56A0519C" wp14:editId="2AF985B7">
            <wp:extent cx="5960853" cy="2932981"/>
            <wp:effectExtent l="0" t="0" r="190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5FAD" w:rsidRPr="00452779" w:rsidRDefault="002A5FAD" w:rsidP="002A5FAD">
      <w:pPr>
        <w:keepNext/>
        <w:spacing w:line="240" w:lineRule="auto"/>
        <w:rPr>
          <w:rFonts w:asciiTheme="majorHAnsi" w:eastAsia="Times New Roman" w:hAnsiTheme="majorHAnsi" w:cs="Arial"/>
          <w:b/>
          <w:color w:val="000000"/>
          <w:sz w:val="20"/>
          <w:lang w:eastAsia="fr-FR"/>
        </w:rPr>
      </w:pPr>
      <w:r w:rsidRPr="00452779">
        <w:rPr>
          <w:b/>
          <w:sz w:val="24"/>
        </w:rPr>
        <w:t xml:space="preserve">Fig </w:t>
      </w:r>
      <w:r>
        <w:rPr>
          <w:b/>
          <w:sz w:val="24"/>
        </w:rPr>
        <w:t>A2</w:t>
      </w:r>
      <w:r w:rsidRPr="00452779">
        <w:rPr>
          <w:b/>
          <w:sz w:val="24"/>
        </w:rPr>
        <w:t>. Main prey species (written) as indicated by relationship between relative abundance (%</w:t>
      </w:r>
      <w:proofErr w:type="spellStart"/>
      <w:r w:rsidRPr="00452779">
        <w:rPr>
          <w:b/>
          <w:sz w:val="24"/>
        </w:rPr>
        <w:t>N</w:t>
      </w:r>
      <w:r w:rsidRPr="00452779">
        <w:rPr>
          <w:b/>
          <w:sz w:val="24"/>
          <w:vertAlign w:val="subscript"/>
        </w:rPr>
        <w:t>bar</w:t>
      </w:r>
      <w:proofErr w:type="spellEnd"/>
      <w:r w:rsidRPr="00452779">
        <w:rPr>
          <w:b/>
          <w:sz w:val="24"/>
        </w:rPr>
        <w:t>, prey proportion in stomach based on number of OTU reads) and frequency of occurrence (%</w:t>
      </w:r>
      <w:proofErr w:type="spellStart"/>
      <w:r w:rsidRPr="00452779">
        <w:rPr>
          <w:b/>
          <w:sz w:val="24"/>
        </w:rPr>
        <w:t>F</w:t>
      </w:r>
      <w:r w:rsidRPr="00452779">
        <w:rPr>
          <w:b/>
          <w:sz w:val="24"/>
          <w:vertAlign w:val="subscript"/>
        </w:rPr>
        <w:t>bar</w:t>
      </w:r>
      <w:proofErr w:type="spellEnd"/>
      <w:r w:rsidRPr="00452779">
        <w:rPr>
          <w:b/>
          <w:sz w:val="24"/>
        </w:rPr>
        <w:t>).</w:t>
      </w:r>
      <w:r w:rsidRPr="00452779">
        <w:rPr>
          <w:rFonts w:asciiTheme="majorHAnsi" w:eastAsia="Times New Roman" w:hAnsiTheme="majorHAnsi" w:cs="Arial"/>
          <w:b/>
          <w:color w:val="000000"/>
          <w:sz w:val="20"/>
          <w:lang w:eastAsia="fr-FR"/>
        </w:rPr>
        <w:t xml:space="preserve"> </w:t>
      </w:r>
    </w:p>
    <w:p w:rsidR="00913F9B" w:rsidRDefault="00913F9B" w:rsidP="002A5FAD">
      <w:pPr>
        <w:spacing w:line="240" w:lineRule="auto"/>
        <w:jc w:val="both"/>
        <w:rPr>
          <w:rFonts w:eastAsia="Times New Roman" w:cs="Arial"/>
          <w:b/>
          <w:color w:val="000000"/>
          <w:sz w:val="24"/>
          <w:lang w:eastAsia="fr-FR"/>
        </w:rPr>
      </w:pPr>
    </w:p>
    <w:p w:rsidR="00913F9B" w:rsidRDefault="00913F9B" w:rsidP="00913F9B">
      <w:pPr>
        <w:rPr>
          <w:sz w:val="24"/>
        </w:rPr>
      </w:pPr>
      <w:r>
        <w:rPr>
          <w:sz w:val="24"/>
        </w:rPr>
        <w:t>In general,</w:t>
      </w:r>
      <w:r w:rsidRPr="00447FFC">
        <w:rPr>
          <w:sz w:val="24"/>
        </w:rPr>
        <w:t xml:space="preserve"> </w:t>
      </w:r>
      <w:r>
        <w:rPr>
          <w:sz w:val="24"/>
        </w:rPr>
        <w:t>the two</w:t>
      </w:r>
      <w:r w:rsidRPr="00447FFC">
        <w:rPr>
          <w:sz w:val="24"/>
        </w:rPr>
        <w:t xml:space="preserve"> methods </w:t>
      </w:r>
      <w:r>
        <w:rPr>
          <w:sz w:val="24"/>
        </w:rPr>
        <w:t xml:space="preserve">used – barcoding and visual stomach content analysis - </w:t>
      </w:r>
      <w:r w:rsidRPr="00447FFC">
        <w:rPr>
          <w:sz w:val="24"/>
        </w:rPr>
        <w:t xml:space="preserve">showed consistent patterns: at the population level, frequency of occurrence determined by </w:t>
      </w:r>
      <w:r>
        <w:rPr>
          <w:sz w:val="24"/>
        </w:rPr>
        <w:t>visual</w:t>
      </w:r>
      <w:r w:rsidRPr="00447FFC">
        <w:rPr>
          <w:sz w:val="24"/>
        </w:rPr>
        <w:t xml:space="preserve"> analysis (%</w:t>
      </w:r>
      <w:proofErr w:type="spellStart"/>
      <w:r w:rsidRPr="00447FFC">
        <w:rPr>
          <w:sz w:val="24"/>
        </w:rPr>
        <w:t>F</w:t>
      </w:r>
      <w:r w:rsidRPr="00913F9B">
        <w:rPr>
          <w:sz w:val="24"/>
        </w:rPr>
        <w:t>vis</w:t>
      </w:r>
      <w:proofErr w:type="spellEnd"/>
      <w:r w:rsidRPr="00447FFC">
        <w:rPr>
          <w:sz w:val="24"/>
        </w:rPr>
        <w:t xml:space="preserve">) </w:t>
      </w:r>
      <w:r>
        <w:rPr>
          <w:sz w:val="24"/>
        </w:rPr>
        <w:t>correlated well with</w:t>
      </w:r>
      <w:r w:rsidRPr="00447FFC">
        <w:rPr>
          <w:sz w:val="24"/>
        </w:rPr>
        <w:t xml:space="preserve"> </w:t>
      </w:r>
      <w:r>
        <w:rPr>
          <w:sz w:val="24"/>
        </w:rPr>
        <w:t xml:space="preserve">the </w:t>
      </w:r>
      <w:r w:rsidRPr="00447FFC">
        <w:rPr>
          <w:sz w:val="24"/>
        </w:rPr>
        <w:t>proportions of prey in the stomachs based on the number of OTU reads (%</w:t>
      </w:r>
      <w:proofErr w:type="spellStart"/>
      <w:r w:rsidRPr="00447FFC">
        <w:rPr>
          <w:sz w:val="24"/>
        </w:rPr>
        <w:t>N</w:t>
      </w:r>
      <w:r w:rsidRPr="00913F9B">
        <w:rPr>
          <w:sz w:val="24"/>
        </w:rPr>
        <w:t>bar</w:t>
      </w:r>
      <w:proofErr w:type="spellEnd"/>
      <w:r w:rsidRPr="00447FFC">
        <w:rPr>
          <w:sz w:val="24"/>
        </w:rPr>
        <w:t xml:space="preserve">; </w:t>
      </w:r>
      <w:r>
        <w:rPr>
          <w:sz w:val="24"/>
        </w:rPr>
        <w:t>Fig</w:t>
      </w:r>
      <w:r w:rsidRPr="00447FFC">
        <w:rPr>
          <w:sz w:val="24"/>
        </w:rPr>
        <w:t xml:space="preserve"> </w:t>
      </w:r>
      <w:r>
        <w:rPr>
          <w:sz w:val="24"/>
        </w:rPr>
        <w:t xml:space="preserve">A3), except for </w:t>
      </w:r>
      <w:proofErr w:type="spellStart"/>
      <w:r>
        <w:rPr>
          <w:sz w:val="24"/>
        </w:rPr>
        <w:t>Bivalvia</w:t>
      </w:r>
      <w:proofErr w:type="spellEnd"/>
      <w:r>
        <w:rPr>
          <w:sz w:val="24"/>
        </w:rPr>
        <w:t xml:space="preserve">, which may have been underrepresented in the barcoding analysis. </w:t>
      </w:r>
    </w:p>
    <w:p w:rsidR="00913F9B" w:rsidRDefault="00913F9B" w:rsidP="002A5FAD">
      <w:pPr>
        <w:spacing w:line="240" w:lineRule="auto"/>
        <w:jc w:val="both"/>
        <w:rPr>
          <w:rFonts w:eastAsia="Times New Roman" w:cs="Arial"/>
          <w:b/>
          <w:color w:val="000000"/>
          <w:sz w:val="24"/>
          <w:lang w:eastAsia="fr-FR"/>
        </w:rPr>
      </w:pPr>
    </w:p>
    <w:p w:rsidR="00913F9B" w:rsidRDefault="00913F9B" w:rsidP="002A5FAD">
      <w:pPr>
        <w:spacing w:line="240" w:lineRule="auto"/>
        <w:jc w:val="both"/>
        <w:rPr>
          <w:rFonts w:eastAsia="Times New Roman" w:cs="Arial"/>
          <w:b/>
          <w:color w:val="000000"/>
          <w:sz w:val="24"/>
          <w:lang w:eastAsia="fr-FR"/>
        </w:rPr>
      </w:pPr>
      <w:r>
        <w:rPr>
          <w:noProof/>
          <w:lang w:val="lt-LT" w:eastAsia="lt-LT"/>
        </w:rPr>
        <w:drawing>
          <wp:inline distT="0" distB="0" distL="0" distR="0" wp14:anchorId="78C5A185" wp14:editId="63D0E19A">
            <wp:extent cx="6120130" cy="26320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5FAD" w:rsidRPr="008A6F83" w:rsidRDefault="002A5FAD" w:rsidP="002A5FAD">
      <w:pPr>
        <w:spacing w:line="240" w:lineRule="auto"/>
        <w:jc w:val="both"/>
        <w:rPr>
          <w:rFonts w:eastAsia="Times New Roman" w:cs="Arial"/>
          <w:color w:val="000000"/>
          <w:sz w:val="24"/>
          <w:lang w:eastAsia="fr-FR"/>
        </w:rPr>
      </w:pPr>
      <w:r w:rsidRPr="00452779">
        <w:rPr>
          <w:rFonts w:eastAsia="Times New Roman" w:cs="Arial"/>
          <w:b/>
          <w:color w:val="000000"/>
          <w:sz w:val="24"/>
          <w:lang w:eastAsia="fr-FR"/>
        </w:rPr>
        <w:t xml:space="preserve">Fig </w:t>
      </w:r>
      <w:r>
        <w:rPr>
          <w:rFonts w:eastAsia="Times New Roman" w:cs="Arial"/>
          <w:b/>
          <w:color w:val="000000"/>
          <w:sz w:val="24"/>
          <w:lang w:eastAsia="fr-FR"/>
        </w:rPr>
        <w:t>A3</w:t>
      </w:r>
      <w:r w:rsidRPr="00452779">
        <w:rPr>
          <w:rFonts w:eastAsia="Times New Roman" w:cs="Arial"/>
          <w:b/>
          <w:color w:val="000000"/>
          <w:sz w:val="24"/>
          <w:lang w:eastAsia="fr-FR"/>
        </w:rPr>
        <w:t>. Diet of three-</w:t>
      </w:r>
      <w:proofErr w:type="spellStart"/>
      <w:r w:rsidRPr="00452779">
        <w:rPr>
          <w:rFonts w:eastAsia="Times New Roman" w:cs="Arial"/>
          <w:b/>
          <w:color w:val="000000"/>
          <w:sz w:val="24"/>
          <w:lang w:eastAsia="fr-FR"/>
        </w:rPr>
        <w:t>spined</w:t>
      </w:r>
      <w:proofErr w:type="spellEnd"/>
      <w:r w:rsidRPr="00452779">
        <w:rPr>
          <w:rFonts w:eastAsia="Times New Roman" w:cs="Arial"/>
          <w:b/>
          <w:color w:val="000000"/>
          <w:sz w:val="24"/>
          <w:lang w:eastAsia="fr-FR"/>
        </w:rPr>
        <w:t xml:space="preserve"> stickleback.</w:t>
      </w:r>
      <w:r w:rsidRPr="008A6F83">
        <w:rPr>
          <w:rFonts w:eastAsia="Times New Roman" w:cs="Arial"/>
          <w:color w:val="000000"/>
          <w:sz w:val="24"/>
          <w:lang w:eastAsia="fr-FR"/>
        </w:rPr>
        <w:t xml:space="preserve"> Relationship between the results of two methods used: proportions of prey in the stomachs based on the number of OTU reads (%</w:t>
      </w:r>
      <w:proofErr w:type="spellStart"/>
      <w:r w:rsidRPr="008A6F83">
        <w:rPr>
          <w:rFonts w:eastAsia="Times New Roman" w:cs="Arial"/>
          <w:color w:val="000000"/>
          <w:sz w:val="24"/>
          <w:lang w:eastAsia="fr-FR"/>
        </w:rPr>
        <w:t>N</w:t>
      </w:r>
      <w:r w:rsidRPr="008A6F83">
        <w:rPr>
          <w:rFonts w:eastAsia="Times New Roman" w:cs="Arial"/>
          <w:color w:val="000000"/>
          <w:sz w:val="24"/>
          <w:vertAlign w:val="subscript"/>
          <w:lang w:eastAsia="fr-FR"/>
        </w:rPr>
        <w:t>bar</w:t>
      </w:r>
      <w:proofErr w:type="spellEnd"/>
      <w:r w:rsidRPr="008A6F83">
        <w:rPr>
          <w:rFonts w:eastAsia="Times New Roman" w:cs="Arial"/>
          <w:color w:val="000000"/>
          <w:sz w:val="24"/>
          <w:lang w:eastAsia="fr-FR"/>
        </w:rPr>
        <w:t>) and frequency of occurrence determined by visual analysis (%</w:t>
      </w:r>
      <w:proofErr w:type="spellStart"/>
      <w:r w:rsidRPr="008A6F83">
        <w:rPr>
          <w:rFonts w:eastAsia="Times New Roman" w:cs="Arial"/>
          <w:color w:val="000000"/>
          <w:sz w:val="24"/>
          <w:lang w:eastAsia="fr-FR"/>
        </w:rPr>
        <w:t>F</w:t>
      </w:r>
      <w:r w:rsidRPr="008A6F83">
        <w:rPr>
          <w:rFonts w:eastAsia="Times New Roman" w:cs="Arial"/>
          <w:color w:val="000000"/>
          <w:sz w:val="24"/>
          <w:vertAlign w:val="subscript"/>
          <w:lang w:eastAsia="fr-FR"/>
        </w:rPr>
        <w:t>vis</w:t>
      </w:r>
      <w:proofErr w:type="spellEnd"/>
      <w:r w:rsidRPr="008A6F83">
        <w:rPr>
          <w:rFonts w:eastAsia="Times New Roman" w:cs="Arial"/>
          <w:color w:val="000000"/>
          <w:sz w:val="24"/>
          <w:lang w:eastAsia="fr-FR"/>
        </w:rPr>
        <w:t xml:space="preserve">). </w:t>
      </w:r>
    </w:p>
    <w:p w:rsidR="002A5FAD" w:rsidRDefault="00FD1C05" w:rsidP="00FD1C05">
      <w:pPr>
        <w:pStyle w:val="Heading2"/>
      </w:pPr>
      <w:r>
        <w:lastRenderedPageBreak/>
        <w:t xml:space="preserve">Discussion </w:t>
      </w:r>
    </w:p>
    <w:p w:rsidR="00FD1C05" w:rsidRDefault="00FD1C05" w:rsidP="002A5FAD"/>
    <w:p w:rsidR="001F4E9F" w:rsidRDefault="00FD1C05" w:rsidP="002A5FAD">
      <w:r>
        <w:rPr>
          <w:sz w:val="24"/>
        </w:rPr>
        <w:t>Although read</w:t>
      </w:r>
      <w:r w:rsidRPr="00447FFC">
        <w:rPr>
          <w:sz w:val="24"/>
        </w:rPr>
        <w:t xml:space="preserve"> counts </w:t>
      </w:r>
      <w:r>
        <w:rPr>
          <w:sz w:val="24"/>
        </w:rPr>
        <w:t>can be used</w:t>
      </w:r>
      <w:r w:rsidRPr="00447FFC">
        <w:rPr>
          <w:sz w:val="24"/>
        </w:rPr>
        <w:t xml:space="preserve"> as a semi-quantitative proxy for diet composition </w:t>
      </w:r>
      <w:r>
        <w:rPr>
          <w:sz w:val="24"/>
        </w:rPr>
        <w:fldChar w:fldCharType="begin" w:fldLock="1"/>
      </w:r>
      <w:r>
        <w:rPr>
          <w:sz w:val="24"/>
        </w:rPr>
        <w:instrText>ADDIN CSL_CITATION { "citationItems" : [ { "id" : "ITEM-1", "itemData" : { "DOI" : "10.1016/j.foreco.2010.11.026", "ISBN" : "0378-1127", "ISSN" : "03781127", "abstract" : "Large herbivores are keystone species in many forest areas, as they shape the structure, species diversity and functioning of those ecosystems. The European bison Bison bonasus has been successfully restored after extinction in the wild at the beginning of 20th century. As free-ranging populations of the species were re-established mainly in forest habitats, knowledge of the impact by the largest European terrestrial mammal on tree stands is essential. This helps to make management and conservation decisions for viable population maintenance of the species in the wild. Using a novel DNA-based method of herbivore diet analysis, the trnL approach (DNA-barcoding), we investigated the influence of different foraging conditions (access to supplementary fodder) on bison diet in winter and its potential impact on woody species. Faecal samples were collected from different bison treatment groups: (1) intensively fed; (2) less intensively fed; (3) non-fed utilising forest habitats; and (4) non-fed utilising agricultural areas surrounding the Forest. These were analysed to estimate the proportion of different plant groups consumed by bison. Bison groups differed significantly in their diet. The amount of woody materials (trees and shrubs) consumed by bison increased with decreasing access to supplementary fodder, ranging from 16% in intensively fed bison to 65% in non-fed bison utilising forest habitats. Inversely, the amount of herbs, grasses and sedges decreased from 82% in intensively fed bison to 32% in non fed bison utilising forest habitats. The species of trees mainly browsed by bison, Carpinus/. Corylus, Betula sp. and Salix sp., were of lower economic importance for forest management. The impact of bison on tree species needs further investigation, however, we can predict that browsing by bison, mainly on Carpinus/. Corylus, makes an insignificant impact on forestry due to the high and increasing representation of this species in the forest understory. Supplementary feeding has several negative effects on bison ecology and health, therefore reduced and distributed supplementary feeding should be applied as the management practice in the Bia\u0142owie\u017ca Forest. \u00a9 2010 Elsevier B.V.", "author" : [ { "dropping-particle" : "", "family" : "Kowalczyk", "given" : "Rafa\u0142", "non-dropping-particle" : "", "parse-names" : false, "suffix" : "" }, { "dropping-particle" : "", "family" : "Taberlet", "given" : "Pierre", "non-dropping-particle" : "", "parse-names" : false, "suffix" : "" }, { "dropping-particle" : "", "family" : "Coissac", "given" : "Eric", "non-dropping-particle" : "", "parse-names" : false, "suffix" : "" }, { "dropping-particle" : "", "family" : "Valentini", "given" : "Alice", "non-dropping-particle" : "", "parse-names" : false, "suffix" : "" }, { "dropping-particle" : "", "family" : "Miquel", "given" : "Christian", "non-dropping-particle" : "", "parse-names" : false, "suffix" : "" }, { "dropping-particle" : "", "family" : "Kami\u0144ski", "given" : "Tomasz", "non-dropping-particle" : "", "parse-names" : false, "suffix" : "" }, { "dropping-particle" : "", "family" : "W\u00f3jcik", "given" : "Jan M.", "non-dropping-particle" : "", "parse-names" : false, "suffix" : "" } ], "container-title" : "Forest Ecology and Management", "id" : "ITEM-1", "issue" : "4", "issued" : { "date-parts" : [ [ "2011" ] ] }, "page" : "821-828", "title" : "Influence of management practices on large herbivore diet-Case of European bison in Bia\u0142owieza Primeval Forest (Poland)", "type" : "article-journal", "volume" : "261" }, "uris" : [ "http://www.mendeley.com/documents/?uuid=8edb0c91-8abb-4288-9a6d-d3b64d774f8c" ] }, { "id" : "ITEM-2", "itemData" : { "DOI" : "10.1111/j.1365-294X.2009.04158.x", "ISBN" : "1365-294X (Electronic)\\n0962-1083 (Linking)", "ISSN" : "09621083", "PMID" : "19317847", "abstract" : "DNA-based techniques have proven useful for defining trophic links in a variety of ecosystems and recently developed sequencing technologies provide new opportunities for dietary studies. We investigated the diet of Australian fur seals (Arctocephalus pusillus doriferus) by pyrosequencing prey DNA from faeces collected at three breeding colonies across the seals' range. DNA from 270 faecal samples was amplified with four polymerase chain reaction primer sets and a blocking primer was used to limit amplification of fur seal DNA. Pooled amplicons from each colony were sequenced using the Roche GS-FLX platform, generating &gt; 20,000 sequences. Software was developed to sort and group similar sequences. A total of 54 bony fish, 4 cartilaginous fish and 4 cephalopods were identified based on the most taxonomically informative amplicons sequenced (mitochondrial 16S). The prevalence of sequences from redbait (Emmelichthys nitidus) and jack mackerel (Trachurus declivis) confirm the importance of these species in the seals' diet. A third fish species, blue mackerel (Scomber australasicus), may be a more important prey species than previously recognised. There were major differences in the proportions of prey DNA recovered in faeces from different colonies, probably reflecting differences in prey availability. Parallel hard-part analysis identified largely the same main prey species as did the DNA-based technique, but with lower species diversity and no remains from cartilaginous prey. The pyrosequencing approach presented significantly expands the capabilities of DNA-based methods of dietary analysis and is suitable for large-scale diet investigations on a broad range of animals.", "author" : [ { "dropping-particle" : "", "family" : "Deagle", "given" : "Bruce E.", "non-dropping-particle" : "", "parse-names" : false, "suffix" : "" }, { "dropping-particle" : "", "family" : "Kirkwood", "given" : "Roger", "non-dropping-particle" : "", "parse-names" : false, "suffix" : "" }, { "dropping-particle" : "", "family" : "Jarman", "given" : "Simon N.", "non-dropping-particle" : "", "parse-names" : false, "suffix" : "" } ], "container-title" : "Molecular Ecology", "id" : "ITEM-2", "issue" : "9", "issued" : { "date-parts" : [ [ "2009" ] ] }, "page" : "2022-2038", "title" : "Analysis of Australian fur seal diet by pyrosequencing prey DNA in faeces", "type" : "article-journal", "volume" : "18" }, "uris" : [ "http://www.mendeley.com/documents/?uuid=d7e26d10-969f-4948-82e6-cd6fc1823957" ] }, { "id" : "ITEM-3", "itemData" : { "DOI" : "10.1186/1742-9994-6-16", "ISBN" : "1742-9994", "ISSN" : "1742-9994", "PMID" : "19695081", "abstract" : "BACKGROUND: In order to understand the role of herbivores in trophic webs, it is essential to know what they feed on. Diet analysis is, however, a challenge in many small herbivores with a secretive life style. In this paper, we compare novel (high-throughput pyrosequencing) DNA barcoding technology for plant mixture with traditional microhistological method. We analysed stomach contents of two ecologically important subarctic vole species, Microtus oeconomus and Myodes rufocanus, with the two methods. DNA barcoding was conducted using the P6-loop of the chloroplast trnL (UAA) intron.\\n\\nRESULTS: Although the identified plant taxa in the diets matched relatively well between the two methods, DNA barcoding gave by far taxonomically more detailed results. Quantitative comparison of results was difficult, mainly due to low taxonomic resolution of the microhistological method, which also in part explained discrepancies between the methods. Other discrepancies were likely due to biases mostly in the microhistological analysis.\\n\\nCONCLUSION: We conclude that DNA barcoding opens up for new possibilities in the study of plant-herbivore interactions, giving a detailed and relatively unbiased picture of food utilization of herbivores.", "author" : [ { "dropping-particle" : "", "family" : "Soininen", "given" : "Eeva M", "non-dropping-particle" : "", "parse-names" : false, "suffix" : "" }, { "dropping-particle" : "", "family" : "Valentini", "given" : "Alice", "non-dropping-particle" : "", "parse-names" : false, "suffix" : "" }, { "dropping-particle" : "", "family" : "Coissac", "given" : "Eric", "non-dropping-particle" : "", "parse-names" : false, "suffix" : "" }, { "dropping-particle" : "", "family" : "Miquel", "given" : "Christian", "non-dropping-particle" : "", "parse-names" : false, "suffix" : "" }, { "dropping-particle" : "", "family" : "Gielly", "given" : "Ludovic", "non-dropping-particle" : "", "parse-names" : false, "suffix" : "" }, { "dropping-particle" : "", "family" : "Brochmann", "given" : "Christian", "non-dropping-particle" : "", "parse-names" : false, "suffix" : "" }, { "dropping-particle" : "", "family" : "Brysting", "given" : "Anne K", "non-dropping-particle" : "", "parse-names" : false, "suffix" : "" }, { "dropping-particle" : "", "family" : "S\u00f8nsteb\u00f8", "given" : "J\u00f8rn H", "non-dropping-particle" : "", "parse-names" : false, "suffix" : "" }, { "dropping-particle" : "", "family" : "Ims", "given" : "Rolf A", "non-dropping-particle" : "", "parse-names" : false, "suffix" : "" }, { "dropping-particle" : "", "family" : "Yoccoz", "given" : "Nigel G", "non-dropping-particle" : "", "parse-names" : false, "suffix" : "" }, { "dropping-particle" : "", "family" : "Taberlet", "given" : "Pierre", "non-dropping-particle" : "", "parse-names" : false, "suffix" : "" } ], "container-title" : "Frontiers in zoology", "id" : "ITEM-3", "issue" : "1", "issued" : { "date-parts" : [ [ "2009" ] ] }, "page" : "16", "title" : "Analysing diet of small herbivores: the efficiency of DNA barcoding coupled with high-throughput pyrosequencing for deciphering the composition of complex plant mixtures.", "type" : "article-journal", "volume" : "6" }, "uris" : [ "http://www.mendeley.com/documents/?uuid=266f174f-09d7-41a7-8422-7a09b63e5145" ] }, { "id" : "ITEM-4", "itemData" : { "DOI" : "10.1371/journal.pone.0068128", "ISBN" : "1932-6203", "ISSN" : "19326203", "PMID" : "23826371", "abstract" : "The ecology of small rodent food selection is poorly understood, as mammalian herbivore food selection theory has mainly been developed by studying ungulates. Especially, the effect of food availability on food selection in natural habitats where a range of food items are available is unknown. We studied diets and selectivity of grey-sided voles (Myodes rufocanus) and tundra voles (Microtus oeconomus), key herbivores in European tundra ecosystems, using DNA metabarcoding, a novel method enabling taxonomically detailed diet studies. In order to cover the range of food availabilities present in the wild, we employed a large-scale study design for sampling data on food availability and vole diets. Both vole species had ingested a range of plant species and selected particularly forbs and grasses. Grey-sided voles also selected ericoid shrubs and tundra voles willows. Availability of a food item rarely affected its utilization directly, although seasonal changes of diets and selection suggest that these are positively correlated with availability. Moreover, diets and selectivity were affected by availability of alternative food items. These results show that the focal sub-arctic voles have diverse diets and flexible food preferences and rarely compensate low availability of a food item with increased searching effort. Diet diversity itself is likely to be an important trait and has previously been underrated owing to methodological constraints. We suggest that the roles of alternative food item availability and search time limitations for small rodent feeding ecology should be investiagted.", "author" : [ { "dropping-particle" : "", "family" : "Soininen", "given" : "Eeva M.", "non-dropping-particle" : "", "parse-names" : false, "suffix" : "" }, { "dropping-particle" : "", "family" : "Ravolainen", "given" : "Virve T.", "non-dropping-particle" : "", "parse-names" : false, "suffix" : "" }, { "dropping-particle" : "", "family" : "Br\u00e5then", "given" : "Kari Anne", "non-dropping-particle" : "", "parse-names" : false, "suffix" : "" }, { "dropping-particle" : "", "family" : "Yoccoz", "given" : "Nigel G.", "non-dropping-particle" : "", "parse-names" : false, "suffix" : "" }, { "dropping-particle" : "", "family" : "Gielly", "given" : "Ludovic", "non-dropping-particle" : "", "parse-names" : false, "suffix" : "" }, { "dropping-particle" : "", "family" : "Ims", "given" : "Rolf A.", "non-dropping-particle" : "", "parse-names" : false, "suffix" : "" } ], "container-title" : "PLoS ONE", "id" : "ITEM-4", "issue" : "6", "issued" : { "date-parts" : [ [ "2013" ] ] }, "title" : "Arctic Small Rodents Have Diverse Diets and Flexible Food Selection", "type" : "article-journal", "volume" : "8" }, "uris" : [ "http://www.mendeley.com/documents/?uuid=84c653ce-3cd8-4e2b-8d5b-a49adedd57e5" ] } ], "mendeley" : { "formattedCitation" : "[1\u20134]", "plainTextFormattedCitation" : "[1\u20134]", "previouslyFormattedCitation" : "[1\u20134]" }, "properties" : { "noteIndex" : 0 }, "schema" : "https://github.com/citation-style-language/schema/raw/master/csl-citation.json" }</w:instrText>
      </w:r>
      <w:r>
        <w:rPr>
          <w:sz w:val="24"/>
        </w:rPr>
        <w:fldChar w:fldCharType="separate"/>
      </w:r>
      <w:r w:rsidRPr="00FD1C05">
        <w:rPr>
          <w:noProof/>
          <w:sz w:val="24"/>
        </w:rPr>
        <w:t>[1–4]</w:t>
      </w:r>
      <w:r>
        <w:rPr>
          <w:sz w:val="24"/>
        </w:rPr>
        <w:fldChar w:fldCharType="end"/>
      </w:r>
      <w:r>
        <w:rPr>
          <w:sz w:val="24"/>
        </w:rPr>
        <w:t>, several well-</w:t>
      </w:r>
      <w:r w:rsidRPr="004060A0">
        <w:rPr>
          <w:sz w:val="24"/>
        </w:rPr>
        <w:t xml:space="preserve">known issues still impede the use of DNA </w:t>
      </w:r>
      <w:proofErr w:type="spellStart"/>
      <w:r w:rsidRPr="004060A0">
        <w:rPr>
          <w:sz w:val="24"/>
        </w:rPr>
        <w:t>metabarcoding</w:t>
      </w:r>
      <w:proofErr w:type="spellEnd"/>
      <w:r w:rsidRPr="004060A0">
        <w:rPr>
          <w:sz w:val="24"/>
        </w:rPr>
        <w:t xml:space="preserve"> for quantification. Quantitative estimates of certain prey in the stomach may be influenced by </w:t>
      </w:r>
      <w:r>
        <w:rPr>
          <w:sz w:val="24"/>
        </w:rPr>
        <w:t xml:space="preserve">prey </w:t>
      </w:r>
      <w:r w:rsidRPr="004060A0">
        <w:rPr>
          <w:sz w:val="24"/>
        </w:rPr>
        <w:t>size, level of digestion, DNA preservation, as well as experimentally introduced biases from DNA extraction, primer-template mismatches</w:t>
      </w:r>
      <w:r w:rsidRPr="004060A0">
        <w:rPr>
          <w:sz w:val="24"/>
          <w:szCs w:val="24"/>
        </w:rPr>
        <w:t>, PCR amplification bias, OTU clustering, reference library quality and taxonomic assignment</w:t>
      </w:r>
      <w:r>
        <w:rPr>
          <w:sz w:val="24"/>
          <w:szCs w:val="24"/>
        </w:rPr>
        <w:t xml:space="preserve"> process</w:t>
      </w:r>
      <w:r w:rsidRPr="004060A0">
        <w:rPr>
          <w:sz w:val="24"/>
          <w:szCs w:val="24"/>
        </w:rPr>
        <w:t xml:space="preserve"> </w:t>
      </w:r>
      <w:r w:rsidRPr="004060A0">
        <w:rPr>
          <w:sz w:val="24"/>
        </w:rPr>
        <w:fldChar w:fldCharType="begin" w:fldLock="1"/>
      </w:r>
      <w:r>
        <w:rPr>
          <w:sz w:val="24"/>
        </w:rPr>
        <w:instrText>ADDIN CSL_CITATION { "citationItems" : [ { "id" : "ITEM-1", "itemData" : { "DOI" : "10.1016/j.tree.2014.10.008", "ISBN" : "0169-5347", "ISSN" : "01695347", "PMID" : "25468359", "abstract" : "The use of DNA barcodes, which are short gene sequences taken from a standardized portion of the genome and used to identify species, is entering a new phase of application as more and more investigations employ these genetic markers to address questions relating to the ecology and evolution of natural systems. The suite of DNA barcode markers now applied to specific taxonomic groups of organisms are proving invaluable for understanding species boundaries, community ecology, functional trait evolution, trophic interactions, and the conservation of biodiversity. The application of next-generation sequencing (NGS) technology will greatly expand the versatility of DNA barcodes across the Tree of Life, habitats, and geographies as new methodologies are explored and developed.", "author" : [ { "dropping-particle" : "", "family" : "Kress", "given" : "W. John", "non-dropping-particle" : "", "parse-names" : false, "suffix" : "" }, { "dropping-particle" : "", "family" : "Garc\u00eda-Robledo", "given" : "Carlos", "non-dropping-particle" : "", "parse-names" : false, "suffix" : "" }, { "dropping-particle" : "", "family" : "Uriarte", "given" : "Maria", "non-dropping-particle" : "", "parse-names" : false, "suffix" : "" }, { "dropping-particle" : "", "family" : "Erickson", "given" : "David L.", "non-dropping-particle" : "", "parse-names" : false, "suffix" : "" } ], "container-title" : "Trends in Ecology and Evolution", "id" : "ITEM-1", "issue" : "1", "issued" : { "date-parts" : [ [ "2015" ] ] }, "page" : "25-35", "title" : "DNA barcodes for ecology, evolution, and conservation", "type" : "article-journal", "volume" : "30" }, "uris" : [ "http://www.mendeley.com/documents/?uuid=c945d214-87f5-49b7-a06b-c429d33eaf5a" ] }, { "id" : "ITEM-2", "itemData" : { "DOI" : "10.1111/j.1365-294X.2011.05403.x", "ISBN" : "1365-294X", "ISSN" : "09621083", "PMID" : "22171763", "abstract" : "The analysis of food webs and their dynamics facilitates understanding of the mechanistic processes behind community ecology and ecosystem functions. Having accurate techniques for determining dietary ranges and components is critical for this endeavour. While visual analyses and early molecular approaches are highly labour intensive and often lack resolution, recent DNA-based approaches potentially provide more accurate methods for dietary studies. A suite of approaches have been used based on the identification of consumed species by characterization of DNA present in gut or faecal samples. In one approach, a standardized DNA region (DNA barcode) is PCR amplified, amplicons are sequenced and then compared to a reference database for identification. Initially, this involved sequencing clones from PCR products, and studies were limited in scale because of the costs and effort required. The recent development of next generation sequencing (NGS) has made this approach much more powerful, by allowing the direct characterization of dozens of samples with several thousand sequences per PCR product, and has the potential to reveal many consumed species simultaneously (DNA metabarcoding). Continual improvement of NGS technologies, on-going decreases in costs and current massive expansion of reference databases make this approach promising. Here we review the power and pitfalls of NGS diet methods. We present the critical factors to take into account when choosing or designing a suitable barcode. Then, we consider both technical and analytical aspects of NGS diet studies. Finally, we discuss the validation of data accuracy including the viability of producing quantitative data.", "author" : [ { "dropping-particle" : "", "family" : "Pompanon", "given" : "Francois", "non-dropping-particle" : "", "parse-names" : false, "suffix" : "" }, { "dropping-particle" : "", "family" : "Deagle", "given" : "Bruce E.", "non-dropping-particle" : "", "parse-names" : false, "suffix" : "" }, { "dropping-particle" : "", "family" : "Symondson", "given" : "William O C", "non-dropping-particle" : "", "parse-names" : false, "suffix" : "" }, { "dropping-particle" : "", "family" : "Brown", "given" : "David S.", "non-dropping-particle" : "", "parse-names" : false, "suffix" : "" }, { "dropping-particle" : "", "family" : "Jarman", "given" : "Simon N.", "non-dropping-particle" : "", "parse-names" : false, "suffix" : "" }, { "dropping-particle" : "", "family" : "Taberlet", "given" : "Pierre", "non-dropping-particle" : "", "parse-names" : false, "suffix" : "" } ], "container-title" : "Molecular Ecology", "id" : "ITEM-2", "issue" : "8", "issued" : { "date-parts" : [ [ "2012" ] ] }, "page" : "1931-1950", "title" : "Who is eating what: Diet assessment using next generation sequencing", "type" : "article-journal", "volume" : "21" }, "uris" : [ "http://www.mendeley.com/documents/?uuid=c2d4b9d2-f9f1-4b0d-baa6-ef8639350fda" ] }, { "id" : "ITEM-3", "itemData" : { "DOI" : "10.1007/s00227-008-1079-8", "ISBN" : "0025-3162", "ISSN" : "00253162", "abstract" : "Quantification of feeding rates and selectivity of zooplankton is vital for understanding the mechanisms structuring marine ecosystems. However, methodological limitations have made many of these studies difficult. Recently, molecular based methods have demonstrated that DNA from prey species can be used to identify zoo- plankton gut contents, and further, quantitative gut content estimates by quantitative PCR (qPCR) assays targeted to the 18S rRNA gene have been used to estimate feeding rates in appendicularians and copepods. However, while standard single primer based qPCR assays were quantita- tive for the filter feeding appendicularian Oikopleura dioica, feeding rates were consistently underestimated in the copepod Calanus finmarchicus. In this study, we test the hypothesis that prey DNA is rapidly digested after ingestion by copepods and describe a qPCR-based assay, differential length amplification qPCR (dla-qPCR), to account for DNA digestion. The assay utilizes multiple primer sets that amplify different sized fragments of the prey 18S rRNA gene and, based on the differential amplification of these fragments, the degree of digestion is estimated and corrected for. Application of this approach to C. finmarchicus fed Rhodomonas marina significantly improved quantitative feeding estimates compared to standard qPCR. The development of dla-qPCR represents a significant advancement towards a quantitative method for assessing in situ copepod feeding rates without involving cultivation-based manipulation.", "author" : [ { "dropping-particle" : "", "family" : "Troedsson", "given" : "Christofer", "non-dropping-particle" : "", "parse-names" : false, "suffix" : "" }, { "dropping-particle" : "", "family" : "Simonelli", "given" : "Paolo", "non-dropping-particle" : "", "parse-names" : false, "suffix" : "" }, { "dropping-particle" : "", "family" : "N\u00e4gele", "given" : "Verena", "non-dropping-particle" : "", "parse-names" : false, "suffix" : "" }, { "dropping-particle" : "", "family" : "Nejstgaard", "given" : "Jens C.", "non-dropping-particle" : "", "parse-names" : false, "suffix" : "" }, { "dropping-particle" : "", "family" : "Frischer", "given" : "Marc E.", "non-dropping-particle" : "", "parse-names" : false, "suffix" : "" } ], "container-title" : "Marine Biology", "id" : "ITEM-3", "issue" : "3", "issued" : { "date-parts" : [ [ "2009" ] ] }, "page" : "253-259", "title" : "Quantification of copepod gut content by differential length amplification quantitative PCR (dla-qPCR)", "type" : "article-journal", "volume" : "156" }, "uris" : [ "http://www.mendeley.com/documents/?uuid=4e76ee49-e9eb-4670-a1ba-eb31751ca452" ] }, { "id" : "ITEM-4", "itemData" : { "DOI" : "10.1007/s10592-006-9197-7", "ISBN" : "1566-0621", "ISSN" : "15660621", "PMID" : "1609", "abstract" : "Abstract We investigate using relative amounts of prey DNA recovered from pinniped faeces to obtain diet composition data. Faeces were obtained from captive sea lions being fed a diet containing three fish species (50%, 36% and 14% by mass). Real-time PCR was used to ...", "author" : [ { "dropping-particle" : "", "family" : "Deagle", "given" : "Bruce E.", "non-dropping-particle" : "", "parse-names" : false, "suffix" : "" }, { "dropping-particle" : "", "family" : "Tollit", "given" : "Dominic J.", "non-dropping-particle" : "", "parse-names" : false, "suffix" : "" } ], "container-title" : "Conservation Genetics", "id" : "ITEM-4", "issue" : "3", "issued" : { "date-parts" : [ [ "2007" ] ] }, "page" : "743-747", "title" : "Quantitative analysis of prey DNA in pinniped faeces: Potential to estimate diet composition?", "type" : "article-journal", "volume" : "8" }, "uris" : [ "http://www.mendeley.com/documents/?uuid=9575ff26-725a-487d-94f8-1a1f3a477e1c" ] }, { "id" : "ITEM-5", "itemData" : { "DOI" : "10.1371/journal.pcbi.1002743", "ISBN" : "10.1371/journal.pcbi.1002743", "ISSN" : "1553734X", "PMID" : "23133348", "abstract" : "The abundance of different SSU rRNA (\"16S\") gene sequences in environmental samples is widely used in studies of microbial ecology as a measure of microbial community structure and diversity. However, the genomic copy number of the 16S gene varies greatly - from one in many species to up to 15 in some bacteria and to hundreds in some microbial eukaryotes. As a result of this variation the relative abundance of 16S genes in environmental samples can be attributed both to variation in the relative abundance of different organisms, and to variation in genomic 16S copy number among those organisms. Despite this fact, many studies assume that the abundance of 16S gene sequences is a surrogate measure of the relative abundance of the organisms containing those sequences. Here we present a method that uses data on sequences and genomic copy number of 16S genes along with phylogenetic placement and ancestral state estimation to estimate organismal abundances from environmental DNA sequence data. We use theory and simulations to demonstrate that 16S genomic copy number can be accurately estimated from the short reads typically obtained from high-throughput environmental sequencing of the 16S gene, and that organismal abundances in microbial communities are more strongly correlated with estimated abundances obtained from our method than with gene abundances. We re-analyze several published empirical data sets and demonstrate that the use of gene abundance versus estimated organismal abundance can lead to different inferences about community diversity and structure and the identity of the dominant taxa in microbial communities. Our approach will allow microbial ecologists to make more accurate inferences about microbial diversity and abundance based on 16S sequence data.", "author" : [ { "dropping-particle" : "", "family" : "Kembel", "given" : "Steven W.", "non-dropping-particle" : "", "parse-names" : false, "suffix" : "" }, { "dropping-particle" : "", "family" : "Wu", "given" : "Martin", "non-dropping-particle" : "", "parse-names" : false, "suffix" : "" }, { "dropping-particle" : "", "family" : "Eisen", "given" : "Jonathan A.", "non-dropping-particle" : "", "parse-names" : false, "suffix" : "" }, { "dropping-particle" : "", "family" : "Green", "given" : "Jessica L.", "non-dropping-particle" : "", "parse-names" : false, "suffix" : "" } ], "container-title" : "PLoS Computational Biology", "id" : "ITEM-5", "issue" : "10", "issued" : { "date-parts" : [ [ "2012" ] ] }, "title" : "Incorporating 16S Gene Copy Number Information Improves Estimates of Microbial Diversity and Abundance", "type" : "article-journal", "volume" : "8" }, "uris" : [ "http://www.mendeley.com/documents/?uuid=4e424112-3074-4dbc-a666-599618879ff0" ] }, { "id" : "ITEM-6", "itemData" : { "ISBN" : "0099-2240", "ISSN" : "00992240", "PMID" : "9758791", "abstract" : "Bias introduced by the simultaneous amplification of specific genes from complex mixtures of templates remains poorly understood. To explore potential causes and the extent of bias in PCR amplification of 16S ribosomal DNAs (rDNAs), genomic DNAs of two closely and one distantly related bacterial species were mixed and amplified with universal, degenerate primers. Quantification and comparison of template and product ratios showed that there was considerable and reproducible overamplification of specific templates. Variability between replicates also contributed to the observed bias but in a comparatively minor way. Based on these initial observations, template dosage and differences in binding energies of permutations of the degenerate, universal primers were tested as two likely causes of this template-specific bias by using 16S rDNA templates modified by site-directed mutagenesis. When mixtures of mutagenized templates containing AT- and GC-rich priming sites were used, templates containing the GC-rich permutation amplified with higher efficiency, indicating that different primer binding energies may to a large extent be responsible for overamplification. In contrast, gene copy number was found to be an unlikely cause of the observed bias. Similarly, amplification from DNA extracted from a natural community to which different amounts of genomic DNA of a single bacterial species were added did not affect relative product ratios. Bias was reduced considerably by using high template concentrations, by performing fewer cycles, and by mixing replicate reaction preparations.", "author" : [ { "dropping-particle" : "", "family" : "Polz", "given" : "Martin F.", "non-dropping-particle" : "", "parse-names" : false, "suffix" : "" }, { "dropping-particle" : "", "family" : "Cavanaugh", "given" : "Colleen M.", "non-dropping-particle" : "", "parse-names" : false, "suffix" : "" } ], "container-title" : "Applied and Environmental Microbiology", "id" : "ITEM-6", "issue" : "10", "issued" : { "date-parts" : [ [ "1998" ] ] }, "page" : "3724-3730", "title" : "Bias in template-to-product ratios in multitemplate PCR", "type" : "article-journal", "volume" : "64" }, "uris" : [ "http://www.mendeley.com/documents/?uuid=a1adf1b5-93a7-40a5-8b2e-15f2ceee9ec3" ] }, { "id" : "ITEM-7", "itemData" : { "DOI" : "10.1111/1755-0998.12355", "ISSN" : "17550998", "PMID" : "25454249", "abstract" : "The quantification of the biological diversity in environmental samples using high-throughput DNA sequencing is hindered by the PCR bias caused by variable primer-template mismatches of the individual species. In some dietary studies, there is the added problem that samples are enriched with predator DNA, so often a predator-specific blocking oligonucleotide is used to alleviate the problem. However, specific blocking oligonucleotides could coblock nontarget species to some degree. Here, we accurately estimate the extent of the PCR biases induced by universal and blocking primers on a mock community prepared with DNA of twelve species of terrestrial arthropods. We also compare universal and blocking primer biases with those induced by variable annealing temperature and number of PCR cycles. The results show that reads of all species were recovered after PCR enrichment at our control conditions (no blocking oligonucleotide, 45 \u00b0C annealing temperature and 40 cycles) and high-throughput sequencing. They also show that the four factors considered biased the final proportions of the species to some degree. Among these factors, the number of primer-template mismatches of each species had a disproportionate effect (up to five orders of magnitude) on the amplification efficiency. In particular, the number of primer-template mismatches explained most of the variation (~3/4) in the amplification efficiency of the species. The effect of blocking oligonucleotide concentration on nontarget species relative abundance was also significant, but less important (below one order of magnitude). Considering the results reported here, the quantitative potential of the technique is limited, and only qualitative results (the species list) are reliable, at least when targeting the barcoding COI region.", "author" : [ { "dropping-particle" : "", "family" : "Pi\u00f1ol", "given" : "Josep", "non-dropping-particle" : "", "parse-names" : false, "suffix" : "" }, { "dropping-particle" : "", "family" : "Mir", "given" : "G.", "non-dropping-particle" : "", "parse-names" : false, "suffix" : "" }, { "dropping-particle" : "", "family" : "Gomez-Polo", "given" : "P.", "non-dropping-particle" : "", "parse-names" : false, "suffix" : "" }, { "dropping-particle" : "", "family" : "Agust\u00ed", "given" : "N.", "non-dropping-particle" : "", "parse-names" : false, "suffix" : "" } ], "container-title" : "Molecular Ecology Resources", "id" : "ITEM-7", "issue" : "4", "issued" : { "date-parts" : [ [ "2015" ] ] }, "page" : "819-830", "title" : "Universal and blocking primer mismatches limit the use of high-throughput DNA sequencing for the quantitative metabarcoding of arthropods", "type" : "article-journal", "volume" : "15" }, "uris" : [ "http://www.mendeley.com/documents/?uuid=315b8a5c-e5f2-4d2a-bff2-b049a087d75e" ] }, { "id" : "ITEM-8", "itemData" : { "DOI" : "10.1371/currents.tol.cdf8b74881f87e3b01d56b43791626d2", "ISBN" : "2157-3999 (Electronic)", "ISSN" : "2157-3999", "PMID" : "24987576", "abstract" : "More than 2,500 species of copepods (Class Maxillopoda; Subclass Copepoda) occur in the marine planktonic environment. The exceptional morphological conservation of the group, with numerous sibling species groups, makes the identification of species challenging, even for expert taxonomists. Molecular approaches to species identification have allowed rapid detection, discrimination, and identification of species based on DNA sequencing of single specimens and environmental samples. Despite the recent development of diverse genetic and genomic markers, the barcode region of the mitochondrial cytochrome c oxidase subunit I (COI) gene remains a useful and - in some cases - unequaled diagnostic character for species-level identification of copepods. This study reports 800 new barcode sequences for 63 copepod species not included in any previous study and examines the reliability and resolution of diverse statistical approaches to species identification based upon a dataset of 1,381 barcode sequences for 195 copepod species. We explore the impact of missing data (i.e., species not represented in the barcode database) on the accuracy and reliability of species identifications. Among the tested approaches, the best close match analysis resulted in accurate identification of all individuals to species, with no errors (false positives), and out-performed automated tree-based or BLAST based analyses. This comparative analysis yields new understanding of the strengths and weaknesses of DNA barcoding and confirms the value of DNA barcodes for species identification of copepods, including both individual specimens and bulk samples. Continued integrative morphological-molecular taxonomic analysis is needed to produce a taxonomically-comprehensive database of barcode sequences for all species of marine copepods.", "author" : [ { "dropping-particle" : "", "family" : "Blanco-Bercial", "given" : "Leocadio", "non-dropping-particle" : "", "parse-names" : false, "suffix" : "" }, { "dropping-particle" : "", "family" : "Cornils", "given" : "Astrid", "non-dropping-particle" : "", "parse-names" : false, "suffix" : "" }, { "dropping-particle" : "", "family" : "Copley", "given" : "Nancy", "non-dropping-particle" : "", "parse-names" : false, "suffix" : "" }, { "dropping-particle" : "", "family" : "Bucklin", "given" : "Ann", "non-dropping-particle" : "", "parse-names" : false, "suffix" : "" } ], "container-title" : "PLoS Currents", "id" : "ITEM-8", "issue" : "ecurrents.tol.cdf8b74881f87e3b01d56b43791626d2", "issued" : { "date-parts" : [ [ "2014" ] ] }, "page" : "1-40", "title" : "DNA Barcoding of marine copepods: assessment of analytical approaches to species identification", "type" : "article-journal" }, "uris" : [ "http://www.mendeley.com/documents/?uuid=6f61db11-e86a-4e39-a6c3-8dbf3fc2a981" ] } ], "mendeley" : { "formattedCitation" : "[5\u201312]", "plainTextFormattedCitation" : "[5\u201312]", "previouslyFormattedCitation" : "[5\u201312]" }, "properties" : { "noteIndex" : 0 }, "schema" : "https://github.com/citation-style-language/schema/raw/master/csl-citation.json" }</w:instrText>
      </w:r>
      <w:r w:rsidRPr="004060A0">
        <w:rPr>
          <w:sz w:val="24"/>
        </w:rPr>
        <w:fldChar w:fldCharType="separate"/>
      </w:r>
      <w:r w:rsidRPr="00FD1C05">
        <w:rPr>
          <w:noProof/>
          <w:sz w:val="24"/>
        </w:rPr>
        <w:t>[5–12]</w:t>
      </w:r>
      <w:r w:rsidRPr="004060A0">
        <w:rPr>
          <w:sz w:val="24"/>
        </w:rPr>
        <w:fldChar w:fldCharType="end"/>
      </w:r>
      <w:r w:rsidRPr="004060A0">
        <w:rPr>
          <w:sz w:val="24"/>
        </w:rPr>
        <w:t>. One way to reduce such biases is to introduce correction factors, by creating a</w:t>
      </w:r>
      <w:r w:rsidRPr="00447FFC">
        <w:rPr>
          <w:sz w:val="24"/>
        </w:rPr>
        <w:t xml:space="preserve"> library of mixed prey standards and then us</w:t>
      </w:r>
      <w:r>
        <w:rPr>
          <w:sz w:val="24"/>
        </w:rPr>
        <w:t>ing</w:t>
      </w:r>
      <w:r w:rsidRPr="00447FFC">
        <w:rPr>
          <w:sz w:val="24"/>
        </w:rPr>
        <w:t xml:space="preserve"> them to correct counts from unknown comp</w:t>
      </w:r>
      <w:r>
        <w:rPr>
          <w:sz w:val="24"/>
        </w:rPr>
        <w:t xml:space="preserve">osition </w:t>
      </w:r>
      <w:r>
        <w:rPr>
          <w:sz w:val="24"/>
        </w:rPr>
        <w:fldChar w:fldCharType="begin" w:fldLock="1"/>
      </w:r>
      <w:r>
        <w:rPr>
          <w:sz w:val="24"/>
        </w:rPr>
        <w:instrText>ADDIN CSL_CITATION { "citationItems" : [ { "id" : "ITEM-1", "itemData" : { "DOI" : "10.1111/1755-0998.12490", "ISSN" : "17550998", "PMID" : "26602877", "abstract" : "DNA metabarcoding is a powerful new tool allowing characterization of species assemblages using high-throughput amplicon sequencing. The utility of DNA metabarcoding for quantifying relative species abundances is currently limited by both biological and technical biases which influence sequence read counts. We tested the idea of sequencing 50/50 mixtures of target species and a control species in order to generate relative correction factors (RCFs) that account for multiple sources of bias and are applicable to field studies. RCFs will be most effective if they are not affected by input mass ratio or co-occurring species. In a model experiment involving three target fish species and a fixed control, we found RCFs did vary with input ratio but in a consistent fashion, and that 50/50 RCFs applied to DNA sequence counts from various mixtures of the target species still greatly improved relative abundance estimates (e.g., average per species error of 19 \u00b1 8% for uncorrected versus 3 \u00b1 1% for corrected estimates). To demonstrate the use of correction factors in a field setting, we calculated 50/50 RCFs for 18 harbour seal (Phoca vitulina) prey species (RCFs ranging from 0.68 to 3.68). Applying these corrections to field-collected seal scats affected species percentages from individual samples (\u0394 6.7 \u00b1 6.6%) more than population level species estimates (\u0394 1.7 \u00b1 1.2%). Our results indicate that the 50/50 RCF approach is an effective tool for evaluating and correcting biases in DNA metabarcoding studies. The decision to apply correction factors will be influenced by the feasibility of creating tissue mixtures for the target species, and the level of accuracy needed to meet research objectives. This article is protected by copyright. All rights reserved.", "author" : [ { "dropping-particle" : "", "family" : "Thomas", "given" : "Austen C.", "non-dropping-particle" : "", "parse-names" : false, "suffix" : "" }, { "dropping-particle" : "", "family" : "Deagle", "given" : "Bruce E.", "non-dropping-particle" : "", "parse-names" : false, "suffix" : "" }, { "dropping-particle" : "", "family" : "Eveson", "given" : "J. Paige", "non-dropping-particle" : "", "parse-names" : false, "suffix" : "" }, { "dropping-particle" : "", "family" : "Harsch", "given" : "Corie H.", "non-dropping-particle" : "", "parse-names" : false, "suffix" : "" }, { "dropping-particle" : "", "family" : "Trites", "given" : "Andrew W.", "non-dropping-particle" : "", "parse-names" : false, "suffix" : "" } ], "container-title" : "Molecular Ecology Resources", "id" : "ITEM-1", "issue" : "3", "issued" : { "date-parts" : [ [ "2016" ] ] }, "page" : "714-726", "title" : "Quantitative DNA metabarcoding: Improved estimates of species proportional biomass using correction factors derived from control material", "type" : "article-journal", "volume" : "16" }, "uris" : [ "http://www.mendeley.com/documents/?uuid=fe21ad3c-1ffc-4590-95d1-f3413106a8fc" ] } ], "mendeley" : { "formattedCitation" : "[13]", "plainTextFormattedCitation" : "[13]", "previouslyFormattedCitation" : "[13]" }, "properties" : { "noteIndex" : 0 }, "schema" : "https://github.com/citation-style-language/schema/raw/master/csl-citation.json" }</w:instrText>
      </w:r>
      <w:r>
        <w:rPr>
          <w:sz w:val="24"/>
        </w:rPr>
        <w:fldChar w:fldCharType="separate"/>
      </w:r>
      <w:r w:rsidRPr="00FD1C05">
        <w:rPr>
          <w:noProof/>
          <w:sz w:val="24"/>
        </w:rPr>
        <w:t>[13]</w:t>
      </w:r>
      <w:r>
        <w:rPr>
          <w:sz w:val="24"/>
        </w:rPr>
        <w:fldChar w:fldCharType="end"/>
      </w:r>
      <w:r>
        <w:rPr>
          <w:sz w:val="24"/>
        </w:rPr>
        <w:t xml:space="preserve">. This was not done in our study, </w:t>
      </w:r>
      <w:r w:rsidRPr="00447FFC">
        <w:rPr>
          <w:sz w:val="24"/>
        </w:rPr>
        <w:t>but</w:t>
      </w:r>
      <w:r>
        <w:rPr>
          <w:sz w:val="24"/>
        </w:rPr>
        <w:t xml:space="preserve"> the application of a</w:t>
      </w:r>
      <w:r w:rsidRPr="00447FFC">
        <w:rPr>
          <w:sz w:val="24"/>
        </w:rPr>
        <w:t>lternative method</w:t>
      </w:r>
      <w:r>
        <w:rPr>
          <w:sz w:val="24"/>
        </w:rPr>
        <w:t>s (visual</w:t>
      </w:r>
      <w:r w:rsidRPr="00447FFC">
        <w:rPr>
          <w:sz w:val="24"/>
        </w:rPr>
        <w:t xml:space="preserve"> analysis</w:t>
      </w:r>
      <w:r>
        <w:rPr>
          <w:sz w:val="24"/>
        </w:rPr>
        <w:t xml:space="preserve">) enabled us, at least to some extent, to validate the DNA </w:t>
      </w:r>
      <w:proofErr w:type="spellStart"/>
      <w:r>
        <w:rPr>
          <w:sz w:val="24"/>
        </w:rPr>
        <w:t>metabarcoding</w:t>
      </w:r>
      <w:proofErr w:type="spellEnd"/>
      <w:r>
        <w:rPr>
          <w:sz w:val="24"/>
        </w:rPr>
        <w:t xml:space="preserve"> results (Fig A3).</w:t>
      </w:r>
    </w:p>
    <w:p w:rsidR="001F4E9F" w:rsidRDefault="00FD1C05" w:rsidP="001F4E9F">
      <w:pPr>
        <w:pStyle w:val="Heading2"/>
      </w:pPr>
      <w:r>
        <w:t>References</w:t>
      </w:r>
    </w:p>
    <w:p w:rsidR="00FD1C05" w:rsidRPr="00FD1C05" w:rsidRDefault="001F4E9F"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FD1C05" w:rsidRPr="00FD1C05">
        <w:rPr>
          <w:rFonts w:ascii="Calibri" w:hAnsi="Calibri" w:cs="Times New Roman"/>
          <w:noProof/>
          <w:szCs w:val="24"/>
        </w:rPr>
        <w:t xml:space="preserve">1. </w:t>
      </w:r>
      <w:r w:rsidR="00FD1C05" w:rsidRPr="00FD1C05">
        <w:rPr>
          <w:rFonts w:ascii="Calibri" w:hAnsi="Calibri" w:cs="Times New Roman"/>
          <w:noProof/>
          <w:szCs w:val="24"/>
        </w:rPr>
        <w:tab/>
        <w:t>Soininen EM, Ravolainen VT, Bråthen KA, Yoccoz NG, Gielly L, Ims RA. Arctic Small Rodents Have Diverse Diets and Flexible Food Selection. PLoS One. 2013;8. doi:10.1371/journal.pone.0068128</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2. </w:t>
      </w:r>
      <w:r w:rsidRPr="00FD1C05">
        <w:rPr>
          <w:rFonts w:ascii="Calibri" w:hAnsi="Calibri" w:cs="Times New Roman"/>
          <w:noProof/>
          <w:szCs w:val="24"/>
        </w:rPr>
        <w:tab/>
        <w:t>Kowalczyk R, Taberlet P, Coissac E, Valentini A, Miquel C, Kamiński T, et al. Influence of management practices on large herbivore diet-Case of European bison in Białowieza Primeval Forest (Poland). For Ecol Manage. 2011;261: 821–828. doi:10.1016/j.foreco.2010.11.026</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3. </w:t>
      </w:r>
      <w:r w:rsidRPr="00FD1C05">
        <w:rPr>
          <w:rFonts w:ascii="Calibri" w:hAnsi="Calibri" w:cs="Times New Roman"/>
          <w:noProof/>
          <w:szCs w:val="24"/>
        </w:rPr>
        <w:tab/>
        <w:t>Deagle BE, Kirkwood R, Jarman SN. Analysis of Australian fur seal diet by pyrosequencing prey DNA in faeces. Mol Ecol. 2009;18: 2022–2038. doi:10.1111/j.1365-294X.2009.04158.x</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4. </w:t>
      </w:r>
      <w:r w:rsidRPr="00FD1C05">
        <w:rPr>
          <w:rFonts w:ascii="Calibri" w:hAnsi="Calibri" w:cs="Times New Roman"/>
          <w:noProof/>
          <w:szCs w:val="24"/>
        </w:rPr>
        <w:tab/>
        <w:t>Soininen EM, Valentini A, Coissac E, Miquel C, Gielly L, Brochmann C, et al. Analysing diet of small herbivores: the efficiency of DNA barcoding coupled with high-throughput pyrosequencing for deciphering the composition of complex plant mixtures. Front Zool. 2009;6: 16. doi:10.1186/1742-9994-6-16</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5. </w:t>
      </w:r>
      <w:r w:rsidRPr="00FD1C05">
        <w:rPr>
          <w:rFonts w:ascii="Calibri" w:hAnsi="Calibri" w:cs="Times New Roman"/>
          <w:noProof/>
          <w:szCs w:val="24"/>
        </w:rPr>
        <w:tab/>
        <w:t>Kress WJ, García-Robledo C, Uriarte M, Erickson DL. DNA barcodes for ecology, evolution, and conservation. Trends Ecol Evol. 2015;30: 25–35. doi:10.1016/j.tree.2014.10.008</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6. </w:t>
      </w:r>
      <w:r w:rsidRPr="00FD1C05">
        <w:rPr>
          <w:rFonts w:ascii="Calibri" w:hAnsi="Calibri" w:cs="Times New Roman"/>
          <w:noProof/>
          <w:szCs w:val="24"/>
        </w:rPr>
        <w:tab/>
        <w:t>Pompanon F, Deagle BE, Symondson WOC, Brown DS, Jarman SN, Taberlet P. Who is eating what: Diet assessment using next generation sequencing. Mol Ecol. 2012;21: 1931–1950. doi:10.1111/j.1365-294X.2011.05403.x</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7. </w:t>
      </w:r>
      <w:r w:rsidRPr="00FD1C05">
        <w:rPr>
          <w:rFonts w:ascii="Calibri" w:hAnsi="Calibri" w:cs="Times New Roman"/>
          <w:noProof/>
          <w:szCs w:val="24"/>
        </w:rPr>
        <w:tab/>
        <w:t>Troedsson C, Simonelli P, Nägele V, Nejstgaard JC, Frischer ME. Quantification of copepod gut content by differential length amplification quantitative PCR (dla-qPCR). Mar Biol. 2009;156: 253–259. doi:10.1007/s00227-008-1079-8</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8. </w:t>
      </w:r>
      <w:r w:rsidRPr="00FD1C05">
        <w:rPr>
          <w:rFonts w:ascii="Calibri" w:hAnsi="Calibri" w:cs="Times New Roman"/>
          <w:noProof/>
          <w:szCs w:val="24"/>
        </w:rPr>
        <w:tab/>
        <w:t>Deagle BE, Tollit DJ. Quantitative analysis of prey DNA in pinniped faeces: Potential to estimate diet composition? Conserv Genet. 2007;8: 743–747. doi:10.1007/s10592-006-9197-7</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9. </w:t>
      </w:r>
      <w:r w:rsidRPr="00FD1C05">
        <w:rPr>
          <w:rFonts w:ascii="Calibri" w:hAnsi="Calibri" w:cs="Times New Roman"/>
          <w:noProof/>
          <w:szCs w:val="24"/>
        </w:rPr>
        <w:tab/>
        <w:t>Kembel SW, Wu M, Eisen JA, Green JL. Incorporating 16S Gene Copy Number Information Improves Estimates of Microbial Diversity and Abundance. PLoS Comput Biol. 2012;8. doi:10.1371/journal.pcbi.1002743</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10. </w:t>
      </w:r>
      <w:r w:rsidRPr="00FD1C05">
        <w:rPr>
          <w:rFonts w:ascii="Calibri" w:hAnsi="Calibri" w:cs="Times New Roman"/>
          <w:noProof/>
          <w:szCs w:val="24"/>
        </w:rPr>
        <w:tab/>
        <w:t xml:space="preserve">Polz MF, Cavanaugh CM. Bias in template-to-product ratios in multitemplate PCR. Appl Environ Microbiol. 1998;64: 3724–3730. </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11. </w:t>
      </w:r>
      <w:r w:rsidRPr="00FD1C05">
        <w:rPr>
          <w:rFonts w:ascii="Calibri" w:hAnsi="Calibri" w:cs="Times New Roman"/>
          <w:noProof/>
          <w:szCs w:val="24"/>
        </w:rPr>
        <w:tab/>
        <w:t xml:space="preserve">Piñol J, Mir G, Gomez-Polo P, Agustí N. Universal and blocking primer mismatches limit the use of high-throughput DNA sequencing for the quantitative metabarcoding of arthropods. Mol Ecol </w:t>
      </w:r>
      <w:r w:rsidRPr="00FD1C05">
        <w:rPr>
          <w:rFonts w:ascii="Calibri" w:hAnsi="Calibri" w:cs="Times New Roman"/>
          <w:noProof/>
          <w:szCs w:val="24"/>
        </w:rPr>
        <w:lastRenderedPageBreak/>
        <w:t>Resour. 2015;15: 819–830. doi:10.1111/1755-0998.12355</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cs="Times New Roman"/>
          <w:noProof/>
          <w:szCs w:val="24"/>
        </w:rPr>
      </w:pPr>
      <w:r w:rsidRPr="00FD1C05">
        <w:rPr>
          <w:rFonts w:ascii="Calibri" w:hAnsi="Calibri" w:cs="Times New Roman"/>
          <w:noProof/>
          <w:szCs w:val="24"/>
        </w:rPr>
        <w:t xml:space="preserve">12. </w:t>
      </w:r>
      <w:r w:rsidRPr="00FD1C05">
        <w:rPr>
          <w:rFonts w:ascii="Calibri" w:hAnsi="Calibri" w:cs="Times New Roman"/>
          <w:noProof/>
          <w:szCs w:val="24"/>
        </w:rPr>
        <w:tab/>
        <w:t>Blanco-Bercial L, Cornils A, Copley N, Bucklin A. DNA Barcoding of marine copepods: assessment of analytical approaches to species identification. PLoS Curr. 2014; 1–40. doi:10.1371/currents.tol.cdf8b74881f87e3b01d56b43791626d2</w:t>
      </w:r>
    </w:p>
    <w:p w:rsidR="00FD1C05" w:rsidRPr="00FD1C05" w:rsidRDefault="00FD1C05" w:rsidP="006C577A">
      <w:pPr>
        <w:widowControl w:val="0"/>
        <w:pBdr>
          <w:bottom w:val="single" w:sz="4" w:space="2" w:color="595959" w:themeColor="text1" w:themeTint="A6"/>
        </w:pBdr>
        <w:autoSpaceDE w:val="0"/>
        <w:autoSpaceDN w:val="0"/>
        <w:adjustRightInd w:val="0"/>
        <w:spacing w:line="240" w:lineRule="auto"/>
        <w:ind w:left="640" w:hanging="640"/>
        <w:rPr>
          <w:rFonts w:ascii="Calibri" w:hAnsi="Calibri"/>
          <w:noProof/>
        </w:rPr>
      </w:pPr>
      <w:r w:rsidRPr="00FD1C05">
        <w:rPr>
          <w:rFonts w:ascii="Calibri" w:hAnsi="Calibri" w:cs="Times New Roman"/>
          <w:noProof/>
          <w:szCs w:val="24"/>
        </w:rPr>
        <w:t xml:space="preserve">13. </w:t>
      </w:r>
      <w:r w:rsidRPr="00FD1C05">
        <w:rPr>
          <w:rFonts w:ascii="Calibri" w:hAnsi="Calibri" w:cs="Times New Roman"/>
          <w:noProof/>
          <w:szCs w:val="24"/>
        </w:rPr>
        <w:tab/>
        <w:t>Thomas AC, Deagle BE, Eveson JP, Harsch CH, Trites AW. Quantitative DNA metabarcoding: Improved estimates of species proportional biomass using correction factors derived from control material. Mol Ecol Resour. 2016;16: 714–726. doi:10.1111/1755-0998.12490</w:t>
      </w:r>
    </w:p>
    <w:p w:rsidR="00FD1C05" w:rsidRDefault="001F4E9F" w:rsidP="006C577A">
      <w:r>
        <w:fldChar w:fldCharType="end"/>
      </w:r>
    </w:p>
    <w:p w:rsidR="006C577A" w:rsidRPr="006C577A" w:rsidRDefault="006C577A" w:rsidP="006C577A"/>
    <w:sectPr w:rsidR="006C577A" w:rsidRPr="006C57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3B94273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D"/>
    <w:rsid w:val="0006250E"/>
    <w:rsid w:val="001F4E9F"/>
    <w:rsid w:val="002A5FAD"/>
    <w:rsid w:val="002E0AB2"/>
    <w:rsid w:val="00553A9C"/>
    <w:rsid w:val="006C577A"/>
    <w:rsid w:val="007F4157"/>
    <w:rsid w:val="00913F9B"/>
    <w:rsid w:val="00A92513"/>
    <w:rsid w:val="00C73108"/>
    <w:rsid w:val="00C87192"/>
    <w:rsid w:val="00E04865"/>
    <w:rsid w:val="00FD1C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6C478-AB4C-486D-AB7D-127F83F1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0E"/>
    <w:rPr>
      <w:lang w:val="en-GB"/>
    </w:rPr>
  </w:style>
  <w:style w:type="paragraph" w:styleId="Heading1">
    <w:name w:val="heading 1"/>
    <w:basedOn w:val="Normal"/>
    <w:next w:val="Normal"/>
    <w:link w:val="Heading1Char"/>
    <w:uiPriority w:val="9"/>
    <w:qFormat/>
    <w:rsid w:val="0006250E"/>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6250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6250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250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250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6250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6250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250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250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0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625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6250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6250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250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6250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625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25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25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250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625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250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25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250E"/>
    <w:rPr>
      <w:color w:val="5A5A5A" w:themeColor="text1" w:themeTint="A5"/>
      <w:spacing w:val="10"/>
    </w:rPr>
  </w:style>
  <w:style w:type="character" w:styleId="Strong">
    <w:name w:val="Strong"/>
    <w:basedOn w:val="DefaultParagraphFont"/>
    <w:uiPriority w:val="22"/>
    <w:qFormat/>
    <w:rsid w:val="0006250E"/>
    <w:rPr>
      <w:b/>
      <w:bCs/>
      <w:color w:val="000000" w:themeColor="text1"/>
    </w:rPr>
  </w:style>
  <w:style w:type="character" w:styleId="Emphasis">
    <w:name w:val="Emphasis"/>
    <w:basedOn w:val="DefaultParagraphFont"/>
    <w:uiPriority w:val="20"/>
    <w:qFormat/>
    <w:rsid w:val="0006250E"/>
    <w:rPr>
      <w:i/>
      <w:iCs/>
      <w:color w:val="auto"/>
    </w:rPr>
  </w:style>
  <w:style w:type="paragraph" w:styleId="NoSpacing">
    <w:name w:val="No Spacing"/>
    <w:uiPriority w:val="1"/>
    <w:qFormat/>
    <w:rsid w:val="0006250E"/>
    <w:pPr>
      <w:spacing w:after="0" w:line="240" w:lineRule="auto"/>
    </w:pPr>
  </w:style>
  <w:style w:type="paragraph" w:styleId="Quote">
    <w:name w:val="Quote"/>
    <w:basedOn w:val="Normal"/>
    <w:next w:val="Normal"/>
    <w:link w:val="QuoteChar"/>
    <w:uiPriority w:val="29"/>
    <w:qFormat/>
    <w:rsid w:val="0006250E"/>
    <w:pPr>
      <w:spacing w:before="160"/>
      <w:ind w:left="720" w:right="720"/>
    </w:pPr>
    <w:rPr>
      <w:i/>
      <w:iCs/>
      <w:color w:val="000000" w:themeColor="text1"/>
    </w:rPr>
  </w:style>
  <w:style w:type="character" w:customStyle="1" w:styleId="QuoteChar">
    <w:name w:val="Quote Char"/>
    <w:basedOn w:val="DefaultParagraphFont"/>
    <w:link w:val="Quote"/>
    <w:uiPriority w:val="29"/>
    <w:rsid w:val="0006250E"/>
    <w:rPr>
      <w:i/>
      <w:iCs/>
      <w:color w:val="000000" w:themeColor="text1"/>
    </w:rPr>
  </w:style>
  <w:style w:type="paragraph" w:styleId="IntenseQuote">
    <w:name w:val="Intense Quote"/>
    <w:basedOn w:val="Normal"/>
    <w:next w:val="Normal"/>
    <w:link w:val="IntenseQuoteChar"/>
    <w:uiPriority w:val="30"/>
    <w:qFormat/>
    <w:rsid w:val="000625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250E"/>
    <w:rPr>
      <w:color w:val="000000" w:themeColor="text1"/>
      <w:shd w:val="clear" w:color="auto" w:fill="F2F2F2" w:themeFill="background1" w:themeFillShade="F2"/>
    </w:rPr>
  </w:style>
  <w:style w:type="character" w:styleId="SubtleEmphasis">
    <w:name w:val="Subtle Emphasis"/>
    <w:basedOn w:val="DefaultParagraphFont"/>
    <w:uiPriority w:val="19"/>
    <w:qFormat/>
    <w:rsid w:val="0006250E"/>
    <w:rPr>
      <w:i/>
      <w:iCs/>
      <w:color w:val="404040" w:themeColor="text1" w:themeTint="BF"/>
    </w:rPr>
  </w:style>
  <w:style w:type="character" w:styleId="IntenseEmphasis">
    <w:name w:val="Intense Emphasis"/>
    <w:basedOn w:val="DefaultParagraphFont"/>
    <w:uiPriority w:val="21"/>
    <w:qFormat/>
    <w:rsid w:val="0006250E"/>
    <w:rPr>
      <w:b/>
      <w:bCs/>
      <w:i/>
      <w:iCs/>
      <w:caps/>
    </w:rPr>
  </w:style>
  <w:style w:type="character" w:styleId="SubtleReference">
    <w:name w:val="Subtle Reference"/>
    <w:basedOn w:val="DefaultParagraphFont"/>
    <w:uiPriority w:val="31"/>
    <w:qFormat/>
    <w:rsid w:val="000625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250E"/>
    <w:rPr>
      <w:b/>
      <w:bCs/>
      <w:smallCaps/>
      <w:u w:val="single"/>
    </w:rPr>
  </w:style>
  <w:style w:type="character" w:styleId="BookTitle">
    <w:name w:val="Book Title"/>
    <w:basedOn w:val="DefaultParagraphFont"/>
    <w:uiPriority w:val="33"/>
    <w:qFormat/>
    <w:rsid w:val="0006250E"/>
    <w:rPr>
      <w:b w:val="0"/>
      <w:bCs w:val="0"/>
      <w:smallCaps/>
      <w:spacing w:val="5"/>
    </w:rPr>
  </w:style>
  <w:style w:type="paragraph" w:styleId="TOCHeading">
    <w:name w:val="TOC Heading"/>
    <w:basedOn w:val="Heading1"/>
    <w:next w:val="Normal"/>
    <w:uiPriority w:val="39"/>
    <w:semiHidden/>
    <w:unhideWhenUsed/>
    <w:qFormat/>
    <w:rsid w:val="000625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BARCOD1012\MS%20Barcod\Figures\fig%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BARCOD1012\MS%20Barcod\Figures\Fig%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BARCOD1012\MS%20Barcod\Figures\Fig%20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91014217372736"/>
          <c:y val="0.27384909318767586"/>
          <c:w val="0.46438728837090371"/>
          <c:h val="0.624203542124802"/>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6367320883054911E-2"/>
                  <c:y val="-3.2609680546688419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8.3031664003608327E-2"/>
                  <c:y val="-6.9872672569998764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2.7367794747777185E-2"/>
                  <c:y val="-9.5409300110587923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8514973504890687E-2"/>
                  <c:y val="3.9600671537679412E-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0.17800984669909892"/>
                  <c:y val="-3.8761099820807366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'[1]%OTU'!$H$4:$H$12</c:f>
              <c:strCache>
                <c:ptCount val="9"/>
                <c:pt idx="0">
                  <c:v>Insecta</c:v>
                </c:pt>
                <c:pt idx="1">
                  <c:v>Maxillopoda</c:v>
                </c:pt>
                <c:pt idx="2">
                  <c:v>Branchiopoda</c:v>
                </c:pt>
                <c:pt idx="3">
                  <c:v>Ostracoda</c:v>
                </c:pt>
                <c:pt idx="4">
                  <c:v>Malacostraca</c:v>
                </c:pt>
                <c:pt idx="5">
                  <c:v>Actinopterygii</c:v>
                </c:pt>
                <c:pt idx="6">
                  <c:v>Bivalvia</c:v>
                </c:pt>
                <c:pt idx="7">
                  <c:v>Gastropoda</c:v>
                </c:pt>
                <c:pt idx="8">
                  <c:v>Polychaeta</c:v>
                </c:pt>
              </c:strCache>
            </c:strRef>
          </c:cat>
          <c:val>
            <c:numRef>
              <c:f>'[1]%OTU'!$I$4:$I$12</c:f>
              <c:numCache>
                <c:formatCode>General</c:formatCode>
                <c:ptCount val="9"/>
                <c:pt idx="0">
                  <c:v>47.521849754610038</c:v>
                </c:pt>
                <c:pt idx="1">
                  <c:v>18.336538140572003</c:v>
                </c:pt>
                <c:pt idx="2">
                  <c:v>14.966429637721518</c:v>
                </c:pt>
                <c:pt idx="3">
                  <c:v>10.375967162815066</c:v>
                </c:pt>
                <c:pt idx="4">
                  <c:v>2.846397039399172</c:v>
                </c:pt>
                <c:pt idx="5">
                  <c:v>1.8163139713769689</c:v>
                </c:pt>
                <c:pt idx="6">
                  <c:v>1.1291751189094585</c:v>
                </c:pt>
                <c:pt idx="7">
                  <c:v>1.0326427159703053</c:v>
                </c:pt>
                <c:pt idx="8">
                  <c:v>1.0208908008468378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03438031784486"/>
          <c:y val="2.0484918894345922E-2"/>
          <c:w val="0.81669637449165022"/>
          <c:h val="0.78731136555862402"/>
        </c:manualLayout>
      </c:layout>
      <c:scatterChart>
        <c:scatterStyle val="lineMarker"/>
        <c:varyColors val="0"/>
        <c:ser>
          <c:idx val="0"/>
          <c:order val="0"/>
          <c:tx>
            <c:strRef>
              <c:f>Sheet1!$E$3</c:f>
              <c:strCache>
                <c:ptCount val="1"/>
                <c:pt idx="0">
                  <c:v>%Nbar</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layout>
                <c:manualLayout>
                  <c:x val="-0.12341197822141561"/>
                  <c:y val="-1.4918412727872881E-2"/>
                </c:manualLayout>
              </c:layout>
              <c:tx>
                <c:rich>
                  <a:bodyPr/>
                  <a:lstStyle/>
                  <a:p>
                    <a:fld id="{5A977458-C8B4-4DE0-931C-EE1EAB5A12D0}"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layout>
                    <c:manualLayout>
                      <c:w val="0.23650323201432852"/>
                      <c:h val="4.8372953270127819E-2"/>
                    </c:manualLayout>
                  </c15:layout>
                  <c15:dlblFieldTable/>
                  <c15:showDataLabelsRange val="1"/>
                </c:ext>
              </c:extLst>
            </c:dLbl>
            <c:dLbl>
              <c:idx val="1"/>
              <c:layout>
                <c:manualLayout>
                  <c:x val="-4.7235230627307757E-2"/>
                  <c:y val="-0.10848240216377528"/>
                </c:manualLayout>
              </c:layout>
              <c:tx>
                <c:rich>
                  <a:bodyPr/>
                  <a:lstStyle/>
                  <a:p>
                    <a:fld id="{AD4D873A-BE9B-4DC6-B08C-1854E943AC63}"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
              <c:layout>
                <c:manualLayout>
                  <c:x val="6.1349683372834758E-2"/>
                  <c:y val="-3.0651336886349839E-2"/>
                </c:manualLayout>
              </c:layout>
              <c:tx>
                <c:rich>
                  <a:bodyPr/>
                  <a:lstStyle/>
                  <a:p>
                    <a:fld id="{29E98570-59CA-409C-B9AA-5412BD0F409A}"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
              <c:layout>
                <c:manualLayout>
                  <c:x val="-9.815949339653593E-2"/>
                  <c:y val="-8.8548306560566017E-2"/>
                </c:manualLayout>
              </c:layout>
              <c:tx>
                <c:rich>
                  <a:bodyPr/>
                  <a:lstStyle/>
                  <a:p>
                    <a:fld id="{F0F68A67-3817-43EC-9148-1DCF28107A7A}"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
              <c:layout>
                <c:manualLayout>
                  <c:x val="1.4314926120328145E-2"/>
                  <c:y val="-5.4491265575733062E-2"/>
                </c:manualLayout>
              </c:layout>
              <c:tx>
                <c:rich>
                  <a:bodyPr/>
                  <a:lstStyle/>
                  <a:p>
                    <a:fld id="{2E420F28-A62F-4617-8643-6D7577847528}"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
              <c:layout>
                <c:manualLayout>
                  <c:x val="-0.24735817418795805"/>
                  <c:y val="-0.15258642150025747"/>
                </c:manualLayout>
              </c:layout>
              <c:tx>
                <c:rich>
                  <a:bodyPr/>
                  <a:lstStyle/>
                  <a:p>
                    <a:fld id="{672FD62F-7346-4723-A46D-C4AB03DE7348}"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
              <c:layout>
                <c:manualLayout>
                  <c:x val="-0.25153370182862311"/>
                  <c:y val="-3.0651336886349901E-2"/>
                </c:manualLayout>
              </c:layout>
              <c:tx>
                <c:rich>
                  <a:bodyPr/>
                  <a:lstStyle/>
                  <a:p>
                    <a:fld id="{DC0004DE-36CF-488C-8078-8CECBADF146F}"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
              <c:layout>
                <c:manualLayout>
                  <c:x val="4.0899788915223272E-2"/>
                  <c:y val="0"/>
                </c:manualLayout>
              </c:layout>
              <c:tx>
                <c:rich>
                  <a:bodyPr/>
                  <a:lstStyle/>
                  <a:p>
                    <a:fld id="{5CFB0AE0-D4A3-454A-88A9-46E6460838A1}"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8"/>
              <c:tx>
                <c:rich>
                  <a:bodyPr/>
                  <a:lstStyle/>
                  <a:p>
                    <a:fld id="{CF3805C6-731F-4694-98CB-651EC6DD1ED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9"/>
              <c:layout>
                <c:manualLayout>
                  <c:x val="-1.8745520036296922E-17"/>
                  <c:y val="-4.4274153280283009E-2"/>
                </c:manualLayout>
              </c:layout>
              <c:tx>
                <c:rich>
                  <a:bodyPr/>
                  <a:lstStyle/>
                  <a:p>
                    <a:fld id="{FEE16B11-4090-43C2-85FA-AC38BEAF6605}"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0"/>
              <c:tx>
                <c:rich>
                  <a:bodyPr/>
                  <a:lstStyle/>
                  <a:p>
                    <a:fld id="{8DB84132-BF86-493F-A58E-1CF48C0149DF}"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1"/>
              <c:layout>
                <c:manualLayout>
                  <c:x val="1.2269936674566906E-2"/>
                  <c:y val="-3.4057040984833086E-3"/>
                </c:manualLayout>
              </c:layout>
              <c:tx>
                <c:rich>
                  <a:bodyPr/>
                  <a:lstStyle/>
                  <a:p>
                    <a:fld id="{B4E57D3F-2BAD-412B-A985-6755E1689D6C}"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2"/>
              <c:tx>
                <c:rich>
                  <a:bodyPr/>
                  <a:lstStyle/>
                  <a:p>
                    <a:fld id="{BDA22020-506A-4493-B08F-5066E43C6666}"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3"/>
              <c:layout>
                <c:manualLayout>
                  <c:x val="-0.17177911344393773"/>
                  <c:y val="-2.0434224590899976E-2"/>
                </c:manualLayout>
              </c:layout>
              <c:tx>
                <c:rich>
                  <a:bodyPr/>
                  <a:lstStyle/>
                  <a:p>
                    <a:fld id="{4B96FBE1-1477-42CE-B33C-A9318DB74BCE}" type="CELLRANGE">
                      <a:rPr lang="en-US"/>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4"/>
              <c:tx>
                <c:rich>
                  <a:bodyPr/>
                  <a:lstStyle/>
                  <a:p>
                    <a:fld id="{3D405960-7520-4E41-AE71-D90980C4275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5"/>
              <c:tx>
                <c:rich>
                  <a:bodyPr/>
                  <a:lstStyle/>
                  <a:p>
                    <a:fld id="{57BD4D43-01BD-4930-9BF7-C4D00E38DF00}"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6"/>
              <c:tx>
                <c:rich>
                  <a:bodyPr/>
                  <a:lstStyle/>
                  <a:p>
                    <a:fld id="{95A157EF-299B-4622-AB74-1F376BAFAFC8}"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7"/>
              <c:tx>
                <c:rich>
                  <a:bodyPr/>
                  <a:lstStyle/>
                  <a:p>
                    <a:fld id="{28F49BE5-14A7-4E1E-B71C-7F59CD8BE91A}"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8"/>
              <c:tx>
                <c:rich>
                  <a:bodyPr/>
                  <a:lstStyle/>
                  <a:p>
                    <a:fld id="{30E5D8DB-6570-4061-B1C5-942D56AE4368}"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9"/>
              <c:tx>
                <c:rich>
                  <a:bodyPr/>
                  <a:lstStyle/>
                  <a:p>
                    <a:fld id="{FFC9AEE5-F467-4B1A-8078-30BCEF05578E}"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0"/>
              <c:tx>
                <c:rich>
                  <a:bodyPr/>
                  <a:lstStyle/>
                  <a:p>
                    <a:fld id="{1AC6D49C-34DE-4A54-BD29-685C1AD946B6}"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1"/>
              <c:tx>
                <c:rich>
                  <a:bodyPr/>
                  <a:lstStyle/>
                  <a:p>
                    <a:fld id="{8E4DB1C6-7584-49ED-B217-AB88742E7738}"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2"/>
              <c:tx>
                <c:rich>
                  <a:bodyPr/>
                  <a:lstStyle/>
                  <a:p>
                    <a:fld id="{748CAD36-68C9-43CC-810D-F3D9269234A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3"/>
              <c:tx>
                <c:rich>
                  <a:bodyPr/>
                  <a:lstStyle/>
                  <a:p>
                    <a:fld id="{F64258FB-755A-49F3-BC40-107F06223B0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4"/>
              <c:tx>
                <c:rich>
                  <a:bodyPr/>
                  <a:lstStyle/>
                  <a:p>
                    <a:fld id="{A8AC0A93-F6EB-4C3E-B8C6-2982B3AE33C4}"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5"/>
              <c:tx>
                <c:rich>
                  <a:bodyPr/>
                  <a:lstStyle/>
                  <a:p>
                    <a:fld id="{B05E3C72-B24A-4F0F-AB81-1BEB1B3C5B09}"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6"/>
              <c:tx>
                <c:rich>
                  <a:bodyPr/>
                  <a:lstStyle/>
                  <a:p>
                    <a:fld id="{C53A1C08-DB8C-459D-9312-C508E38271D8}"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7"/>
              <c:tx>
                <c:rich>
                  <a:bodyPr/>
                  <a:lstStyle/>
                  <a:p>
                    <a:fld id="{A08494BD-3A24-459B-B778-F5BD31400E92}"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8"/>
              <c:tx>
                <c:rich>
                  <a:bodyPr/>
                  <a:lstStyle/>
                  <a:p>
                    <a:fld id="{94160D63-031A-4A35-9AE3-BDC136EF6B17}"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29"/>
              <c:tx>
                <c:rich>
                  <a:bodyPr/>
                  <a:lstStyle/>
                  <a:p>
                    <a:fld id="{5981140F-DCED-43B1-9A57-0DC80DABFA6C}"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0"/>
              <c:tx>
                <c:rich>
                  <a:bodyPr/>
                  <a:lstStyle/>
                  <a:p>
                    <a:fld id="{748A10D7-F003-4692-A38B-1AA5EB0A90EA}"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1"/>
              <c:tx>
                <c:rich>
                  <a:bodyPr/>
                  <a:lstStyle/>
                  <a:p>
                    <a:fld id="{67195F56-97F3-42D2-960D-D537B4257223}"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2"/>
              <c:tx>
                <c:rich>
                  <a:bodyPr/>
                  <a:lstStyle/>
                  <a:p>
                    <a:fld id="{4986A669-45E1-4668-9D39-CC74692530C2}"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3"/>
              <c:tx>
                <c:rich>
                  <a:bodyPr/>
                  <a:lstStyle/>
                  <a:p>
                    <a:fld id="{4CD3089F-CADA-4B31-BF7E-8D223E8EB9BC}"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4"/>
              <c:tx>
                <c:rich>
                  <a:bodyPr/>
                  <a:lstStyle/>
                  <a:p>
                    <a:fld id="{D1D86CAB-2D40-4FFE-9269-F1CB1D494511}"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5"/>
              <c:tx>
                <c:rich>
                  <a:bodyPr/>
                  <a:lstStyle/>
                  <a:p>
                    <a:fld id="{AF87B896-6DD6-4120-AE82-0EEDAF10956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6"/>
              <c:tx>
                <c:rich>
                  <a:bodyPr/>
                  <a:lstStyle/>
                  <a:p>
                    <a:fld id="{117DE2BB-C2A6-4AEB-AAFA-9EDBC60C9DF1}"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7"/>
              <c:tx>
                <c:rich>
                  <a:bodyPr/>
                  <a:lstStyle/>
                  <a:p>
                    <a:fld id="{88FD42DF-9D02-4A53-9260-DFF9C9FD31AF}"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8"/>
              <c:tx>
                <c:rich>
                  <a:bodyPr/>
                  <a:lstStyle/>
                  <a:p>
                    <a:fld id="{FB2A9557-C2FB-4FBC-A4BC-116FC37C688E}"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39"/>
              <c:tx>
                <c:rich>
                  <a:bodyPr/>
                  <a:lstStyle/>
                  <a:p>
                    <a:fld id="{94EF4306-873E-4F42-BBCC-A73B760DCECB}"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0"/>
              <c:tx>
                <c:rich>
                  <a:bodyPr/>
                  <a:lstStyle/>
                  <a:p>
                    <a:fld id="{663CC55A-0CF0-4DA1-8742-06736D745CA8}"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1"/>
              <c:tx>
                <c:rich>
                  <a:bodyPr/>
                  <a:lstStyle/>
                  <a:p>
                    <a:fld id="{EA144969-1BE6-4423-925F-AC59D01D400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2"/>
              <c:tx>
                <c:rich>
                  <a:bodyPr/>
                  <a:lstStyle/>
                  <a:p>
                    <a:fld id="{D54FC5C4-E549-49C0-942D-9B6EC7B208DC}"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3"/>
              <c:tx>
                <c:rich>
                  <a:bodyPr/>
                  <a:lstStyle/>
                  <a:p>
                    <a:fld id="{63DE6FA7-949E-4990-B810-4941016FFF57}"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4"/>
              <c:tx>
                <c:rich>
                  <a:bodyPr/>
                  <a:lstStyle/>
                  <a:p>
                    <a:fld id="{7AEE95C6-84E2-4EC1-893B-8DD034E55DF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5"/>
              <c:tx>
                <c:rich>
                  <a:bodyPr/>
                  <a:lstStyle/>
                  <a:p>
                    <a:fld id="{829B640F-170A-4CD5-93CD-8CE07D9582CE}"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6"/>
              <c:tx>
                <c:rich>
                  <a:bodyPr/>
                  <a:lstStyle/>
                  <a:p>
                    <a:fld id="{FE8F822F-7B61-445B-B75B-39D84EE57D6C}"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7"/>
              <c:tx>
                <c:rich>
                  <a:bodyPr/>
                  <a:lstStyle/>
                  <a:p>
                    <a:fld id="{A1E00F20-3AEA-49B1-A8EE-83B5614AE142}"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8"/>
              <c:tx>
                <c:rich>
                  <a:bodyPr/>
                  <a:lstStyle/>
                  <a:p>
                    <a:fld id="{3D8DCE7E-BE5C-4558-BA50-20CC867014A5}"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9"/>
              <c:tx>
                <c:rich>
                  <a:bodyPr/>
                  <a:lstStyle/>
                  <a:p>
                    <a:fld id="{3248BDC3-B5EE-4843-AC1A-31A7C172B005}"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0"/>
              <c:tx>
                <c:rich>
                  <a:bodyPr/>
                  <a:lstStyle/>
                  <a:p>
                    <a:fld id="{8D75B8C6-0CAE-4CF5-9677-A5A398B05F5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1"/>
              <c:tx>
                <c:rich>
                  <a:bodyPr/>
                  <a:lstStyle/>
                  <a:p>
                    <a:fld id="{8310C889-E805-4FD3-ABD5-DF34F6920E61}"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2"/>
              <c:tx>
                <c:rich>
                  <a:bodyPr/>
                  <a:lstStyle/>
                  <a:p>
                    <a:fld id="{16364C78-16EA-420E-94A9-888FBD71422B}"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3"/>
              <c:tx>
                <c:rich>
                  <a:bodyPr/>
                  <a:lstStyle/>
                  <a:p>
                    <a:fld id="{AED648DC-A557-431E-A194-3996D2707307}"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4"/>
              <c:tx>
                <c:rich>
                  <a:bodyPr/>
                  <a:lstStyle/>
                  <a:p>
                    <a:fld id="{874C1EA5-B0E6-4BA4-A4F7-946B15A1727A}"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5"/>
              <c:tx>
                <c:rich>
                  <a:bodyPr/>
                  <a:lstStyle/>
                  <a:p>
                    <a:fld id="{9EF87952-BB9E-46C8-8B01-F77887E2671B}"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6"/>
              <c:tx>
                <c:rich>
                  <a:bodyPr/>
                  <a:lstStyle/>
                  <a:p>
                    <a:fld id="{E28E73BE-E78D-4A27-B576-EF780CF47814}"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7"/>
              <c:tx>
                <c:rich>
                  <a:bodyPr/>
                  <a:lstStyle/>
                  <a:p>
                    <a:fld id="{D1EE3C45-7876-473A-A47D-738837ED5D6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8"/>
              <c:tx>
                <c:rich>
                  <a:bodyPr/>
                  <a:lstStyle/>
                  <a:p>
                    <a:fld id="{F867CA44-72F3-4110-87F9-39861EC53DAE}"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9"/>
              <c:tx>
                <c:rich>
                  <a:bodyPr/>
                  <a:lstStyle/>
                  <a:p>
                    <a:fld id="{B5837A3F-9EA4-4FDA-BBCB-30488EF6D082}"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0"/>
              <c:tx>
                <c:rich>
                  <a:bodyPr/>
                  <a:lstStyle/>
                  <a:p>
                    <a:fld id="{98F3C42C-EB9C-4782-AEB7-E4D98D966DB0}"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1"/>
              <c:tx>
                <c:rich>
                  <a:bodyPr/>
                  <a:lstStyle/>
                  <a:p>
                    <a:fld id="{AB03C39C-F8EF-48CD-A247-64FAA86C0B45}"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2"/>
              <c:tx>
                <c:rich>
                  <a:bodyPr/>
                  <a:lstStyle/>
                  <a:p>
                    <a:fld id="{5C5F67EB-8BB8-49CA-81EC-94F06324C3A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3"/>
              <c:tx>
                <c:rich>
                  <a:bodyPr/>
                  <a:lstStyle/>
                  <a:p>
                    <a:fld id="{6E946ADE-4DAA-4D4D-8D6F-BC89AAEA19E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4"/>
              <c:tx>
                <c:rich>
                  <a:bodyPr/>
                  <a:lstStyle/>
                  <a:p>
                    <a:fld id="{1B81E3C5-9950-4CAD-9774-5ABF7C41797C}"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5"/>
              <c:tx>
                <c:rich>
                  <a:bodyPr/>
                  <a:lstStyle/>
                  <a:p>
                    <a:fld id="{0870A400-374D-43AE-B7FF-BB78EBC858F5}"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6"/>
              <c:tx>
                <c:rich>
                  <a:bodyPr/>
                  <a:lstStyle/>
                  <a:p>
                    <a:fld id="{88825730-496B-4E42-A15A-971CE8CEB254}"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7"/>
              <c:tx>
                <c:rich>
                  <a:bodyPr/>
                  <a:lstStyle/>
                  <a:p>
                    <a:fld id="{01C56D11-0853-4D49-8C61-6D6C6794547E}"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8"/>
              <c:tx>
                <c:rich>
                  <a:bodyPr/>
                  <a:lstStyle/>
                  <a:p>
                    <a:fld id="{9FAF5408-089B-4E18-B115-8F70F923584D}" type="CELLRANGE">
                      <a:rPr lang="lt-LT"/>
                      <a:pPr/>
                      <a:t>[CELLRANGE]</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anchor="ctr" anchorCtr="1"/>
              <a:lstStyle/>
              <a:p>
                <a:pPr>
                  <a:defRPr sz="9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Sheet1!$D$4:$D$72</c:f>
              <c:numCache>
                <c:formatCode>General</c:formatCode>
                <c:ptCount val="69"/>
                <c:pt idx="0">
                  <c:v>96.938775510204081</c:v>
                </c:pt>
                <c:pt idx="1">
                  <c:v>87.755102040816325</c:v>
                </c:pt>
                <c:pt idx="2">
                  <c:v>79.591836734693871</c:v>
                </c:pt>
                <c:pt idx="3">
                  <c:v>75.510204081632651</c:v>
                </c:pt>
                <c:pt idx="4">
                  <c:v>78.061224489795919</c:v>
                </c:pt>
                <c:pt idx="5">
                  <c:v>73.469387755102048</c:v>
                </c:pt>
                <c:pt idx="6">
                  <c:v>66.326530612244895</c:v>
                </c:pt>
                <c:pt idx="7">
                  <c:v>77.040816326530617</c:v>
                </c:pt>
                <c:pt idx="8">
                  <c:v>79.081632653061234</c:v>
                </c:pt>
                <c:pt idx="9">
                  <c:v>12.244897959183673</c:v>
                </c:pt>
                <c:pt idx="10">
                  <c:v>31.632653061224492</c:v>
                </c:pt>
                <c:pt idx="11">
                  <c:v>59.693877551020414</c:v>
                </c:pt>
                <c:pt idx="12">
                  <c:v>16.836734693877549</c:v>
                </c:pt>
                <c:pt idx="13">
                  <c:v>58.673469387755105</c:v>
                </c:pt>
                <c:pt idx="14">
                  <c:v>35.204081632653065</c:v>
                </c:pt>
                <c:pt idx="15">
                  <c:v>43.877551020408163</c:v>
                </c:pt>
                <c:pt idx="16">
                  <c:v>43.877551020408163</c:v>
                </c:pt>
                <c:pt idx="17">
                  <c:v>32.653061224489797</c:v>
                </c:pt>
                <c:pt idx="18">
                  <c:v>36.734693877551024</c:v>
                </c:pt>
                <c:pt idx="19">
                  <c:v>8.6734693877551017</c:v>
                </c:pt>
                <c:pt idx="20">
                  <c:v>26.020408163265309</c:v>
                </c:pt>
                <c:pt idx="21">
                  <c:v>16.836734693877549</c:v>
                </c:pt>
                <c:pt idx="22">
                  <c:v>63.265306122448983</c:v>
                </c:pt>
                <c:pt idx="23">
                  <c:v>30.612244897959183</c:v>
                </c:pt>
                <c:pt idx="24">
                  <c:v>33.163265306122447</c:v>
                </c:pt>
                <c:pt idx="25">
                  <c:v>7.1428571428571423</c:v>
                </c:pt>
                <c:pt idx="26">
                  <c:v>2.5510204081632653</c:v>
                </c:pt>
                <c:pt idx="27">
                  <c:v>7.6530612244897958</c:v>
                </c:pt>
                <c:pt idx="28">
                  <c:v>13.26530612244898</c:v>
                </c:pt>
                <c:pt idx="29">
                  <c:v>7.6530612244897958</c:v>
                </c:pt>
                <c:pt idx="30">
                  <c:v>8.6734693877551017</c:v>
                </c:pt>
                <c:pt idx="31">
                  <c:v>4.591836734693878</c:v>
                </c:pt>
                <c:pt idx="32">
                  <c:v>5.6122448979591839</c:v>
                </c:pt>
                <c:pt idx="33">
                  <c:v>14.795918367346939</c:v>
                </c:pt>
                <c:pt idx="34">
                  <c:v>3.0612244897959182</c:v>
                </c:pt>
                <c:pt idx="35">
                  <c:v>13.26530612244898</c:v>
                </c:pt>
                <c:pt idx="36">
                  <c:v>0.51020408163265307</c:v>
                </c:pt>
                <c:pt idx="37">
                  <c:v>4.0816326530612246</c:v>
                </c:pt>
                <c:pt idx="38">
                  <c:v>3.0612244897959182</c:v>
                </c:pt>
                <c:pt idx="39">
                  <c:v>6.1224489795918364</c:v>
                </c:pt>
                <c:pt idx="40">
                  <c:v>10.714285714285714</c:v>
                </c:pt>
                <c:pt idx="41">
                  <c:v>0.51020408163265307</c:v>
                </c:pt>
                <c:pt idx="42">
                  <c:v>3.5714285714285712</c:v>
                </c:pt>
                <c:pt idx="43">
                  <c:v>4.0816326530612246</c:v>
                </c:pt>
                <c:pt idx="44">
                  <c:v>3.5714285714285712</c:v>
                </c:pt>
                <c:pt idx="45">
                  <c:v>5.6122448979591839</c:v>
                </c:pt>
                <c:pt idx="46">
                  <c:v>1.5306122448979591</c:v>
                </c:pt>
                <c:pt idx="47">
                  <c:v>1.5306122448979591</c:v>
                </c:pt>
                <c:pt idx="48">
                  <c:v>3.5714285714285712</c:v>
                </c:pt>
                <c:pt idx="49">
                  <c:v>3.0612244897959182</c:v>
                </c:pt>
                <c:pt idx="50">
                  <c:v>0.51020408163265307</c:v>
                </c:pt>
                <c:pt idx="51">
                  <c:v>0.51020408163265307</c:v>
                </c:pt>
                <c:pt idx="52">
                  <c:v>0.51020408163265307</c:v>
                </c:pt>
                <c:pt idx="53">
                  <c:v>0.51020408163265307</c:v>
                </c:pt>
                <c:pt idx="54">
                  <c:v>1.0204081632653061</c:v>
                </c:pt>
                <c:pt idx="55">
                  <c:v>0.51020408163265307</c:v>
                </c:pt>
                <c:pt idx="56">
                  <c:v>0.51020408163265307</c:v>
                </c:pt>
                <c:pt idx="57">
                  <c:v>0.51020408163265307</c:v>
                </c:pt>
                <c:pt idx="58">
                  <c:v>0.51020408163265307</c:v>
                </c:pt>
                <c:pt idx="59">
                  <c:v>0.51020408163265307</c:v>
                </c:pt>
                <c:pt idx="60">
                  <c:v>1.0204081632653061</c:v>
                </c:pt>
                <c:pt idx="61">
                  <c:v>0.51020408163265307</c:v>
                </c:pt>
                <c:pt idx="62">
                  <c:v>0.51020408163265307</c:v>
                </c:pt>
                <c:pt idx="63">
                  <c:v>0.51020408163265307</c:v>
                </c:pt>
                <c:pt idx="64">
                  <c:v>0.51020408163265307</c:v>
                </c:pt>
                <c:pt idx="65">
                  <c:v>0.51020408163265307</c:v>
                </c:pt>
                <c:pt idx="66">
                  <c:v>0.51020408163265307</c:v>
                </c:pt>
                <c:pt idx="67">
                  <c:v>0.51020408163265307</c:v>
                </c:pt>
                <c:pt idx="68">
                  <c:v>0.51020408163265307</c:v>
                </c:pt>
              </c:numCache>
            </c:numRef>
          </c:xVal>
          <c:yVal>
            <c:numRef>
              <c:f>Sheet1!$E$4:$E$72</c:f>
              <c:numCache>
                <c:formatCode>General</c:formatCode>
                <c:ptCount val="69"/>
                <c:pt idx="0">
                  <c:v>36.84435310787709</c:v>
                </c:pt>
                <c:pt idx="1">
                  <c:v>17.31879375268004</c:v>
                </c:pt>
                <c:pt idx="2">
                  <c:v>12.916280992650064</c:v>
                </c:pt>
                <c:pt idx="3">
                  <c:v>5.7092058506971712</c:v>
                </c:pt>
                <c:pt idx="4">
                  <c:v>3.7746053825885832</c:v>
                </c:pt>
                <c:pt idx="5">
                  <c:v>3.1032825634214629</c:v>
                </c:pt>
                <c:pt idx="6">
                  <c:v>2.8948348340569505</c:v>
                </c:pt>
                <c:pt idx="7">
                  <c:v>2.3756091697234654</c:v>
                </c:pt>
                <c:pt idx="8">
                  <c:v>1.8258004531474117</c:v>
                </c:pt>
                <c:pt idx="9">
                  <c:v>1.4103823112035694</c:v>
                </c:pt>
                <c:pt idx="10">
                  <c:v>1.3981671745175761</c:v>
                </c:pt>
                <c:pt idx="11">
                  <c:v>1.190057649144052</c:v>
                </c:pt>
                <c:pt idx="12">
                  <c:v>1.0705686386587077</c:v>
                </c:pt>
                <c:pt idx="13">
                  <c:v>1.0420985465256036</c:v>
                </c:pt>
                <c:pt idx="14">
                  <c:v>0.97705945901114721</c:v>
                </c:pt>
                <c:pt idx="15">
                  <c:v>0.90130709246547758</c:v>
                </c:pt>
                <c:pt idx="16">
                  <c:v>0.89374647147916075</c:v>
                </c:pt>
                <c:pt idx="17">
                  <c:v>0.67963853241741312</c:v>
                </c:pt>
                <c:pt idx="18">
                  <c:v>0.64475290499851312</c:v>
                </c:pt>
                <c:pt idx="19">
                  <c:v>0.58974336480842304</c:v>
                </c:pt>
                <c:pt idx="20">
                  <c:v>0.38284596335794202</c:v>
                </c:pt>
                <c:pt idx="21">
                  <c:v>0.3428335755168439</c:v>
                </c:pt>
                <c:pt idx="22">
                  <c:v>0.30495097582576874</c:v>
                </c:pt>
                <c:pt idx="23">
                  <c:v>0.26652372540484248</c:v>
                </c:pt>
                <c:pt idx="24">
                  <c:v>0.25211619005859309</c:v>
                </c:pt>
                <c:pt idx="25">
                  <c:v>0.16645915613802473</c:v>
                </c:pt>
                <c:pt idx="26">
                  <c:v>0.16284909849489962</c:v>
                </c:pt>
                <c:pt idx="27">
                  <c:v>0.13349298871154922</c:v>
                </c:pt>
                <c:pt idx="28">
                  <c:v>0.11464847645082062</c:v>
                </c:pt>
                <c:pt idx="29">
                  <c:v>4.8495629256353631E-2</c:v>
                </c:pt>
                <c:pt idx="30">
                  <c:v>4.2543242092561842E-2</c:v>
                </c:pt>
                <c:pt idx="31">
                  <c:v>3.7428306712869418E-2</c:v>
                </c:pt>
                <c:pt idx="32">
                  <c:v>3.0187497242847042E-2</c:v>
                </c:pt>
                <c:pt idx="33">
                  <c:v>2.6698753945423981E-2</c:v>
                </c:pt>
                <c:pt idx="34">
                  <c:v>2.4540776356386372E-2</c:v>
                </c:pt>
                <c:pt idx="35">
                  <c:v>2.0348821304811197E-2</c:v>
                </c:pt>
                <c:pt idx="36">
                  <c:v>1.4758510610453007E-2</c:v>
                </c:pt>
                <c:pt idx="37">
                  <c:v>1.4475463929249872E-2</c:v>
                </c:pt>
                <c:pt idx="38">
                  <c:v>1.1564421054038683E-2</c:v>
                </c:pt>
                <c:pt idx="39">
                  <c:v>9.8226744414542429E-3</c:v>
                </c:pt>
                <c:pt idx="40">
                  <c:v>6.9983882090076588E-3</c:v>
                </c:pt>
                <c:pt idx="41">
                  <c:v>6.0477703757309082E-3</c:v>
                </c:pt>
                <c:pt idx="42">
                  <c:v>4.2241059741752358E-3</c:v>
                </c:pt>
                <c:pt idx="43">
                  <c:v>4.0423967194693228E-3</c:v>
                </c:pt>
                <c:pt idx="44">
                  <c:v>3.3440093145226338E-3</c:v>
                </c:pt>
                <c:pt idx="45">
                  <c:v>1.4336640956953799E-3</c:v>
                </c:pt>
                <c:pt idx="46">
                  <c:v>1.2870118039292051E-3</c:v>
                </c:pt>
                <c:pt idx="47">
                  <c:v>8.8303976220832571E-4</c:v>
                </c:pt>
                <c:pt idx="48">
                  <c:v>6.5195141489412362E-4</c:v>
                </c:pt>
                <c:pt idx="49">
                  <c:v>5.6669096904021418E-4</c:v>
                </c:pt>
                <c:pt idx="50">
                  <c:v>5.1492833868772457E-4</c:v>
                </c:pt>
                <c:pt idx="51">
                  <c:v>4.2318857558374572E-4</c:v>
                </c:pt>
                <c:pt idx="52">
                  <c:v>4.1666201251516961E-4</c:v>
                </c:pt>
                <c:pt idx="53">
                  <c:v>3.1597349972308663E-4</c:v>
                </c:pt>
                <c:pt idx="54">
                  <c:v>2.7370254990848508E-4</c:v>
                </c:pt>
                <c:pt idx="55">
                  <c:v>1.5970741401334982E-4</c:v>
                </c:pt>
                <c:pt idx="56">
                  <c:v>1.4295871184672533E-4</c:v>
                </c:pt>
                <c:pt idx="57">
                  <c:v>1.0631409049182857E-4</c:v>
                </c:pt>
                <c:pt idx="58">
                  <c:v>5.2241024112819302E-5</c:v>
                </c:pt>
                <c:pt idx="59">
                  <c:v>4.7068901773555802E-5</c:v>
                </c:pt>
                <c:pt idx="60">
                  <c:v>3.6215649461160197E-5</c:v>
                </c:pt>
                <c:pt idx="61">
                  <c:v>3.6075842053622714E-5</c:v>
                </c:pt>
                <c:pt idx="62">
                  <c:v>3.0118933920838974E-5</c:v>
                </c:pt>
                <c:pt idx="63">
                  <c:v>2.5482074490739875E-5</c:v>
                </c:pt>
                <c:pt idx="64">
                  <c:v>2.2428797652966802E-5</c:v>
                </c:pt>
                <c:pt idx="65">
                  <c:v>1.5195882419777078E-5</c:v>
                </c:pt>
                <c:pt idx="66">
                  <c:v>1.2820496171104124E-5</c:v>
                </c:pt>
                <c:pt idx="67">
                  <c:v>1.1911398249768436E-5</c:v>
                </c:pt>
                <c:pt idx="68">
                  <c:v>5.4781906223879788E-6</c:v>
                </c:pt>
              </c:numCache>
            </c:numRef>
          </c:yVal>
          <c:smooth val="0"/>
          <c:extLst>
            <c:ext xmlns:c15="http://schemas.microsoft.com/office/drawing/2012/chart" uri="{02D57815-91ED-43cb-92C2-25804820EDAC}">
              <c15:datalabelsRange>
                <c15:f>Sheet1!$C$4:$C$72</c15:f>
                <c15:dlblRangeCache>
                  <c:ptCount val="69"/>
                  <c:pt idx="0">
                    <c:v>Tanytarsus usmaensis</c:v>
                  </c:pt>
                  <c:pt idx="1">
                    <c:v>Pleopis polyphemoides</c:v>
                  </c:pt>
                  <c:pt idx="2">
                    <c:v>Tachidius discipes</c:v>
                  </c:pt>
                  <c:pt idx="3">
                    <c:v>Eurytemora affinis</c:v>
                  </c:pt>
                  <c:pt idx="4">
                    <c:v>Chironomus aprilinus</c:v>
                  </c:pt>
                  <c:pt idx="5">
                    <c:v>Chironomus plumosus</c:v>
                  </c:pt>
                  <c:pt idx="6">
                    <c:v>Dicrotendipes modestus</c:v>
                  </c:pt>
                  <c:pt idx="7">
                    <c:v>Orthocladius oblidens</c:v>
                  </c:pt>
                </c15:dlblRangeCache>
              </c15:datalabelsRange>
            </c:ext>
          </c:extLst>
        </c:ser>
        <c:dLbls>
          <c:showLegendKey val="0"/>
          <c:showVal val="1"/>
          <c:showCatName val="0"/>
          <c:showSerName val="0"/>
          <c:showPercent val="0"/>
          <c:showBubbleSize val="0"/>
        </c:dLbls>
        <c:axId val="323757088"/>
        <c:axId val="323757648"/>
      </c:scatterChart>
      <c:valAx>
        <c:axId val="323757088"/>
        <c:scaling>
          <c:orientation val="minMax"/>
          <c:max val="1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%F</a:t>
                </a:r>
                <a:r>
                  <a:rPr lang="lt-LT"/>
                  <a:t>bar</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crossAx val="323757648"/>
        <c:crosses val="autoZero"/>
        <c:crossBetween val="midCat"/>
      </c:valAx>
      <c:valAx>
        <c:axId val="323757648"/>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%N</a:t>
                </a:r>
                <a:r>
                  <a:rPr lang="lt-LT"/>
                  <a:t>bar</a:t>
                </a:r>
              </a:p>
            </c:rich>
          </c:tx>
          <c:layout>
            <c:manualLayout>
              <c:xMode val="edge"/>
              <c:yMode val="edge"/>
              <c:x val="2.3857835078307518E-2"/>
              <c:y val="0.3235281467679135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crossAx val="3237570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506078460669719E-2"/>
          <c:y val="2.1784393739103781E-2"/>
          <c:w val="0.87549027471219887"/>
          <c:h val="0.80191913966958506"/>
        </c:manualLayout>
      </c:layout>
      <c:scatterChart>
        <c:scatterStyle val="lineMarker"/>
        <c:varyColors val="0"/>
        <c:ser>
          <c:idx val="0"/>
          <c:order val="0"/>
          <c:tx>
            <c:strRef>
              <c:f>Sheet1!$D$1</c:f>
              <c:strCache>
                <c:ptCount val="1"/>
                <c:pt idx="0">
                  <c:v>%N barc</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fld id="{E43470DA-79E4-4C65-AEC6-E63C994240FC}" type="CELLRANGE">
                      <a:rPr lang="en-US"/>
                      <a:pPr/>
                      <a:t>[CELLRANGE]</a:t>
                    </a:fld>
                    <a:endParaRPr lang="lt-LT"/>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8505F6EB-9CF2-4D4A-917A-2D14C40F8CE4}" type="CELLRANGE">
                      <a:rPr lang="lt-LT"/>
                      <a:pPr/>
                      <a:t>[CELLRANGE]</a:t>
                    </a:fld>
                    <a:endParaRPr lang="lt-LT"/>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A8532C68-AF4E-4C96-B6B7-CC5D8257E1B8}" type="CELLRANGE">
                      <a:rPr lang="lt-LT"/>
                      <a:pPr/>
                      <a:t>[CELLRANGE]</a:t>
                    </a:fld>
                    <a:endParaRPr lang="lt-LT"/>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layout>
                <c:manualLayout>
                  <c:x val="-7.3438545428366947E-2"/>
                  <c:y val="-7.7831400107244653E-2"/>
                </c:manualLayout>
              </c:layout>
              <c:tx>
                <c:rich>
                  <a:bodyPr/>
                  <a:lstStyle/>
                  <a:p>
                    <a:fld id="{223BC4FF-F799-45B7-AC65-7B0B9F640CC4}"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4"/>
              <c:layout>
                <c:manualLayout>
                  <c:x val="-7.1880477275002843E-3"/>
                  <c:y val="-0.11008946462337375"/>
                </c:manualLayout>
              </c:layout>
              <c:tx>
                <c:rich>
                  <a:bodyPr/>
                  <a:lstStyle/>
                  <a:p>
                    <a:fld id="{70C5442E-99BB-41B3-B590-71D6ECBE3F38}"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5"/>
              <c:layout>
                <c:manualLayout>
                  <c:x val="4.0369972953827042E-2"/>
                  <c:y val="-3.6115494361643095E-2"/>
                </c:manualLayout>
              </c:layout>
              <c:tx>
                <c:rich>
                  <a:bodyPr/>
                  <a:lstStyle/>
                  <a:p>
                    <a:fld id="{53E10E49-3514-4BEA-A683-2CAC6343B8DD}"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6"/>
              <c:layout>
                <c:manualLayout>
                  <c:x val="-2.2876768549700447E-2"/>
                  <c:y val="-9.2703191065931403E-2"/>
                </c:manualLayout>
              </c:layout>
              <c:tx>
                <c:rich>
                  <a:bodyPr/>
                  <a:lstStyle/>
                  <a:p>
                    <a:fld id="{2A7629FF-35AA-4DDE-8B32-2B3600F7884B}"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7"/>
              <c:layout>
                <c:manualLayout>
                  <c:x val="-3.9757235110590906E-2"/>
                  <c:y val="-4.1221852670491665E-2"/>
                </c:manualLayout>
              </c:layout>
              <c:tx>
                <c:rich>
                  <a:bodyPr/>
                  <a:lstStyle/>
                  <a:p>
                    <a:fld id="{068B0128-1C26-458D-B665-6C996BF82FF5}"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8"/>
              <c:tx>
                <c:rich>
                  <a:bodyPr/>
                  <a:lstStyle/>
                  <a:p>
                    <a:fld id="{FF3836F9-6D10-4A78-A433-558F6C13069B}" type="CELLRANGE">
                      <a:rPr lang="lt-LT"/>
                      <a:pPr/>
                      <a:t>[CELLRANGE]</a:t>
                    </a:fld>
                    <a:endParaRPr lang="lt-LT"/>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layout>
                <c:manualLayout>
                  <c:x val="-4.2056364128055093E-2"/>
                  <c:y val="-0.16407382308708263"/>
                </c:manualLayout>
              </c:layout>
              <c:tx>
                <c:rich>
                  <a:bodyPr/>
                  <a:lstStyle/>
                  <a:p>
                    <a:fld id="{95AA0CA8-4FAF-4883-90FB-DDCE5FB614C1}" type="CELLRANGE">
                      <a:rPr lang="en-US"/>
                      <a:pPr/>
                      <a:t>[CELLRANGE]</a:t>
                    </a:fld>
                    <a:endParaRPr lang="lt-LT"/>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0"/>
            <c:trendlineLbl>
              <c:layout>
                <c:manualLayout>
                  <c:x val="-0.23232580648897982"/>
                  <c:y val="8.6523491132951443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trendlineLbl>
          </c:trendline>
          <c:xVal>
            <c:numRef>
              <c:f>Sheet1!$C$2:$C$11</c:f>
              <c:numCache>
                <c:formatCode>0</c:formatCode>
                <c:ptCount val="10"/>
                <c:pt idx="0">
                  <c:v>4</c:v>
                </c:pt>
                <c:pt idx="1">
                  <c:v>60.9375</c:v>
                </c:pt>
                <c:pt idx="2">
                  <c:v>53</c:v>
                </c:pt>
                <c:pt idx="3">
                  <c:v>11.979166666666668</c:v>
                </c:pt>
                <c:pt idx="4">
                  <c:v>20.833333333333336</c:v>
                </c:pt>
                <c:pt idx="5">
                  <c:v>10.416666666666668</c:v>
                </c:pt>
                <c:pt idx="6">
                  <c:v>6</c:v>
                </c:pt>
                <c:pt idx="7">
                  <c:v>12.5</c:v>
                </c:pt>
                <c:pt idx="8">
                  <c:v>27.083333333333332</c:v>
                </c:pt>
                <c:pt idx="9">
                  <c:v>2.604166666666667</c:v>
                </c:pt>
              </c:numCache>
            </c:numRef>
          </c:xVal>
          <c:yVal>
            <c:numRef>
              <c:f>Sheet1!$D$2:$D$11</c:f>
              <c:numCache>
                <c:formatCode>0</c:formatCode>
                <c:ptCount val="10"/>
                <c:pt idx="0">
                  <c:v>1.1335932393586299</c:v>
                </c:pt>
                <c:pt idx="1">
                  <c:v>47.521849754610038</c:v>
                </c:pt>
                <c:pt idx="2">
                  <c:v>52.085346998518048</c:v>
                </c:pt>
                <c:pt idx="3">
                  <c:v>14.966429637721518</c:v>
                </c:pt>
                <c:pt idx="4">
                  <c:v>18.336538140572003</c:v>
                </c:pt>
                <c:pt idx="5">
                  <c:v>2.846397039399172</c:v>
                </c:pt>
                <c:pt idx="6">
                  <c:v>1.6683599829174292</c:v>
                </c:pt>
                <c:pt idx="7">
                  <c:v>10.375967162815066</c:v>
                </c:pt>
                <c:pt idx="8">
                  <c:v>1.1291751189094585</c:v>
                </c:pt>
                <c:pt idx="9">
                  <c:v>1.0326427159703053</c:v>
                </c:pt>
              </c:numCache>
            </c:numRef>
          </c:yVal>
          <c:smooth val="0"/>
          <c:extLst>
            <c:ext xmlns:c15="http://schemas.microsoft.com/office/drawing/2012/chart" uri="{02D57815-91ED-43cb-92C2-25804820EDAC}">
              <c15:datalabelsRange>
                <c15:f>Sheet1!$B$2:$B$11</c15:f>
                <c15:dlblRangeCache>
                  <c:ptCount val="10"/>
                  <c:pt idx="0">
                    <c:v>Annelida</c:v>
                  </c:pt>
                  <c:pt idx="1">
                    <c:v>Insecta </c:v>
                  </c:pt>
                  <c:pt idx="2">
                    <c:v>Chironomidae</c:v>
                  </c:pt>
                  <c:pt idx="3">
                    <c:v>Branchiopoda</c:v>
                  </c:pt>
                  <c:pt idx="4">
                    <c:v>Maxillipoda</c:v>
                  </c:pt>
                  <c:pt idx="5">
                    <c:v>Malacostraca </c:v>
                  </c:pt>
                  <c:pt idx="6">
                    <c:v>Amphipoda</c:v>
                  </c:pt>
                  <c:pt idx="7">
                    <c:v>Ostracoda</c:v>
                  </c:pt>
                  <c:pt idx="8">
                    <c:v>Bivalvia</c:v>
                  </c:pt>
                  <c:pt idx="9">
                    <c:v>Gastropoda</c:v>
                  </c:pt>
                </c15:dlblRangeCache>
              </c15:datalabelsRange>
            </c:ext>
          </c:extLst>
        </c:ser>
        <c:dLbls>
          <c:showLegendKey val="0"/>
          <c:showVal val="0"/>
          <c:showCatName val="0"/>
          <c:showSerName val="0"/>
          <c:showPercent val="0"/>
          <c:showBubbleSize val="0"/>
        </c:dLbls>
        <c:axId val="359933648"/>
        <c:axId val="359934208"/>
      </c:scatterChart>
      <c:valAx>
        <c:axId val="359933648"/>
        <c:scaling>
          <c:orientation val="minMax"/>
          <c:max val="65"/>
          <c:min val="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 F</a:t>
                </a:r>
                <a:r>
                  <a:rPr lang="lt-LT"/>
                  <a:t>vis</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crossAx val="359934208"/>
        <c:crosses val="autoZero"/>
        <c:crossBetween val="midCat"/>
      </c:valAx>
      <c:valAx>
        <c:axId val="359934208"/>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 Nbar</a:t>
                </a:r>
                <a:endParaRPr lang="lt-LT"/>
              </a:p>
            </c:rich>
          </c:tx>
          <c:layout>
            <c:manualLayout>
              <c:xMode val="edge"/>
              <c:yMode val="edge"/>
              <c:x val="2.2343347147526175E-2"/>
              <c:y val="0.354661832559775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t-LT"/>
          </a:p>
        </c:txPr>
        <c:crossAx val="3599336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810C-A2BA-4442-86EF-B72CE08A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29457</Words>
  <Characters>16791</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dc:creator>
  <cp:keywords/>
  <dc:description/>
  <cp:lastModifiedBy>Eglė</cp:lastModifiedBy>
  <cp:revision>8</cp:revision>
  <dcterms:created xsi:type="dcterms:W3CDTF">2017-07-10T14:36:00Z</dcterms:created>
  <dcterms:modified xsi:type="dcterms:W3CDTF">2017-08-13T11:05:00Z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http://www.zotero.org/styles/elsevier-with-titles-alphabetical</vt:lpwstr>
  </property>
  <property fmtid="{D5CDD505-2E9C-101B-9397-08002B2CF9AE}" pid="7" name="Mendeley Recent Style Name 2_1">
    <vt:lpwstr>Elsevier (numeric, with titles, sorted alphabetically)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http://www.zotero.org/styles/ices-journal-of-marine-science</vt:lpwstr>
  </property>
  <property fmtid="{D5CDD505-2E9C-101B-9397-08002B2CF9AE}" pid="11" name="Mendeley Recent Style Name 4_1">
    <vt:lpwstr>ICES Journal of Marine Science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http://www.zotero.org/styles/plos-one</vt:lpwstr>
  </property>
  <property fmtid="{D5CDD505-2E9C-101B-9397-08002B2CF9AE}" pid="23" name="Mendeley Document_1">
    <vt:lpwstr>True</vt:lpwstr>
  </property>
  <property fmtid="{D5CDD505-2E9C-101B-9397-08002B2CF9AE}" pid="24" name="Mendeley Unique User Id_1">
    <vt:lpwstr>0534efd3-7130-383c-8d7f-1750a92e1e93</vt:lpwstr>
  </property>
</Properties>
</file>