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1B" w:rsidRPr="00A104B9" w:rsidRDefault="00D3121B" w:rsidP="00D3121B">
      <w:pPr>
        <w:tabs>
          <w:tab w:val="left" w:pos="709"/>
        </w:tabs>
        <w:spacing w:after="120" w:line="480" w:lineRule="auto"/>
        <w:jc w:val="both"/>
        <w:rPr>
          <w:rFonts w:eastAsia="MS Mincho"/>
          <w:b/>
          <w:sz w:val="20"/>
          <w:szCs w:val="20"/>
          <w:lang w:val="en-US" w:eastAsia="ja-JP"/>
        </w:rPr>
      </w:pPr>
      <w:r w:rsidRPr="00A104B9">
        <w:rPr>
          <w:b/>
          <w:color w:val="231F20"/>
          <w:sz w:val="20"/>
          <w:szCs w:val="20"/>
          <w:lang w:val="en-US" w:eastAsia="fr-BE"/>
        </w:rPr>
        <w:t>S1 Table</w:t>
      </w:r>
      <w:r w:rsidRPr="00A104B9">
        <w:rPr>
          <w:rFonts w:eastAsia="MS Mincho"/>
          <w:b/>
          <w:sz w:val="20"/>
          <w:szCs w:val="20"/>
          <w:lang w:val="en-US" w:eastAsia="ja-JP"/>
        </w:rPr>
        <w:t xml:space="preserve">. </w:t>
      </w:r>
      <w:r w:rsidRPr="00A104B9">
        <w:rPr>
          <w:b/>
          <w:sz w:val="20"/>
          <w:szCs w:val="20"/>
          <w:lang w:val="en-US"/>
        </w:rPr>
        <w:t>C</w:t>
      </w:r>
      <w:r w:rsidRPr="00A104B9">
        <w:rPr>
          <w:b/>
          <w:color w:val="000000"/>
          <w:sz w:val="20"/>
          <w:szCs w:val="20"/>
          <w:lang w:val="en-US"/>
        </w:rPr>
        <w:t>linical events according to the cause of cirrhosis</w:t>
      </w:r>
      <w:r>
        <w:rPr>
          <w:b/>
          <w:color w:val="000000"/>
          <w:sz w:val="20"/>
          <w:szCs w:val="20"/>
          <w:lang w:val="en-US"/>
        </w:rPr>
        <w:t>.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722"/>
        <w:gridCol w:w="1964"/>
        <w:gridCol w:w="1842"/>
        <w:gridCol w:w="1781"/>
      </w:tblGrid>
      <w:tr w:rsidR="00D3121B" w:rsidRPr="00A104B9" w:rsidTr="002B091B">
        <w:trPr>
          <w:trHeight w:val="499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Characteristics*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Whole population</w:t>
            </w:r>
          </w:p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(n=752)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ALD group</w:t>
            </w:r>
          </w:p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 xml:space="preserve"> (n=529)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HCV group</w:t>
            </w:r>
          </w:p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(n=145)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NAFLD group</w:t>
            </w:r>
          </w:p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sz w:val="20"/>
                <w:szCs w:val="20"/>
                <w:lang w:val="en-US"/>
              </w:rPr>
              <w:t>(n=78)</w:t>
            </w:r>
          </w:p>
        </w:tc>
        <w:tc>
          <w:tcPr>
            <w:tcW w:w="1781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104B9">
              <w:rPr>
                <w:b/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HCC (no., %)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85 (11%)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38 (7%)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35 (24%)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12 (15%)</w:t>
            </w:r>
          </w:p>
        </w:tc>
        <w:tc>
          <w:tcPr>
            <w:tcW w:w="1781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&lt; 0.001</w:t>
            </w:r>
          </w:p>
        </w:tc>
      </w:tr>
      <w:tr w:rsidR="00D3121B" w:rsidRPr="00A104B9" w:rsidTr="002B091B">
        <w:trPr>
          <w:trHeight w:val="124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Deaths (no., %) *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379 (51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%</w:t>
            </w:r>
            <w:r w:rsidRPr="00A104B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273 (53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%</w:t>
            </w:r>
            <w:r w:rsidRPr="00A104B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78 (55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%</w:t>
            </w:r>
            <w:r w:rsidRPr="00A104B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>28 (36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%</w:t>
            </w:r>
            <w:r w:rsidRPr="00A104B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81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0.01</w:t>
            </w: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Liver-related deaths (no., % of deaths) 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250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(66%)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190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(70%)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46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(59%)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14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(50%)</w:t>
            </w:r>
          </w:p>
        </w:tc>
        <w:tc>
          <w:tcPr>
            <w:tcW w:w="1781" w:type="dxa"/>
            <w:vMerge w:val="restart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&lt;0.001</w:t>
            </w: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   HCC-related deaths (no., % of deaths) 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37 (10%)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12 (5%)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21 (27%)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4 (14%)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 w:eastAsia="fr-BE"/>
              </w:rPr>
            </w:pPr>
            <w:r w:rsidRPr="00A104B9">
              <w:rPr>
                <w:sz w:val="20"/>
                <w:szCs w:val="20"/>
                <w:lang w:val="en-US" w:eastAsia="fr-BE"/>
              </w:rPr>
              <w:t xml:space="preserve">   Non-HCC liver-related deaths</w:t>
            </w:r>
            <w:r w:rsidRPr="00A104B9">
              <w:rPr>
                <w:sz w:val="20"/>
                <w:szCs w:val="20"/>
                <w:lang w:val="en-US"/>
              </w:rPr>
              <w:t xml:space="preserve"> (no., % of deaths)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213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(56%)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178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(65%)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(32%)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10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(36%)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 w:eastAsia="fr-BE"/>
              </w:rPr>
              <w:t xml:space="preserve">        End-stage liver disease</w:t>
            </w:r>
            <w:r w:rsidRPr="00A104B9">
              <w:rPr>
                <w:sz w:val="20"/>
                <w:szCs w:val="20"/>
                <w:lang w:val="en-US"/>
              </w:rPr>
              <w:t xml:space="preserve"> (no., % of deaths)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93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(24%)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75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(27%)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13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(17%)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(18%)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 w:eastAsia="fr-BE"/>
              </w:rPr>
              <w:t xml:space="preserve">        Acute-on-chronic liver failure</w:t>
            </w:r>
            <w:r w:rsidRPr="00A104B9">
              <w:rPr>
                <w:sz w:val="20"/>
                <w:szCs w:val="20"/>
                <w:lang w:val="en-US"/>
              </w:rPr>
              <w:t xml:space="preserve"> (no., % of deaths)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120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(32%)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103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(38%)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12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(15%)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(18%)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 xml:space="preserve">              G</w:t>
            </w:r>
            <w:r w:rsidRPr="00A104B9">
              <w:rPr>
                <w:sz w:val="20"/>
                <w:szCs w:val="20"/>
                <w:lang w:val="en-US" w:eastAsia="fr-BE"/>
              </w:rPr>
              <w:t>astrointestinal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 xml:space="preserve"> bleeding</w:t>
            </w:r>
            <w:r w:rsidRPr="00A104B9">
              <w:rPr>
                <w:sz w:val="20"/>
                <w:szCs w:val="20"/>
                <w:lang w:val="en-US"/>
              </w:rPr>
              <w:t xml:space="preserve"> (no., % of deaths)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41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(11%)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35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(13%)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(6%)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(4%)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 xml:space="preserve">              Alcoholic hepatitis</w:t>
            </w:r>
            <w:r w:rsidRPr="00A104B9">
              <w:rPr>
                <w:sz w:val="20"/>
                <w:szCs w:val="20"/>
                <w:lang w:val="en-US"/>
              </w:rPr>
              <w:t xml:space="preserve"> (no., % of deaths)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29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(8%)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29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(11%)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0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(0%)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0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(0%)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 xml:space="preserve">              Sepsis</w:t>
            </w:r>
            <w:r w:rsidRPr="00A104B9">
              <w:rPr>
                <w:sz w:val="20"/>
                <w:szCs w:val="20"/>
                <w:lang w:val="en-US"/>
              </w:rPr>
              <w:t xml:space="preserve"> (no., % of deaths)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(6.5%)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20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(7%)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(3%)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3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(10%)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 xml:space="preserve">              Others</w:t>
            </w:r>
            <w:r w:rsidRPr="00A104B9">
              <w:rPr>
                <w:sz w:val="20"/>
                <w:szCs w:val="20"/>
                <w:lang w:val="en-US"/>
              </w:rPr>
              <w:t xml:space="preserve"> (no., % of deaths)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25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(6.5%)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19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(7%)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5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(6%)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1 </w:t>
            </w: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(4%)</w:t>
            </w:r>
          </w:p>
        </w:tc>
        <w:tc>
          <w:tcPr>
            <w:tcW w:w="1781" w:type="dxa"/>
            <w:vMerge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Non liver-related deaths (no., % of deaths) 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123 (32%)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80 (29%)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30 (38%)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13 (46%)</w:t>
            </w:r>
          </w:p>
        </w:tc>
        <w:tc>
          <w:tcPr>
            <w:tcW w:w="1781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&lt; 0.001</w:t>
            </w: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 xml:space="preserve">Death from unknown cause </w:t>
            </w:r>
            <w:r w:rsidRPr="00A104B9">
              <w:rPr>
                <w:sz w:val="20"/>
                <w:szCs w:val="20"/>
                <w:lang w:val="en-US"/>
              </w:rPr>
              <w:t xml:space="preserve">(no., % of deaths) 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6 (2%)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3 (1%)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2 (3%)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1 (4%)</w:t>
            </w:r>
          </w:p>
        </w:tc>
        <w:tc>
          <w:tcPr>
            <w:tcW w:w="1781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&lt; 0.001</w:t>
            </w:r>
          </w:p>
        </w:tc>
      </w:tr>
      <w:tr w:rsidR="00D3121B" w:rsidRPr="00A104B9" w:rsidTr="002B091B">
        <w:trPr>
          <w:trHeight w:val="250"/>
        </w:trPr>
        <w:tc>
          <w:tcPr>
            <w:tcW w:w="5070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both"/>
              <w:rPr>
                <w:sz w:val="20"/>
                <w:szCs w:val="20"/>
                <w:lang w:val="en-US"/>
              </w:rPr>
            </w:pPr>
            <w:r w:rsidRPr="00A104B9">
              <w:rPr>
                <w:sz w:val="20"/>
                <w:szCs w:val="20"/>
                <w:lang w:val="en-US"/>
              </w:rPr>
              <w:t xml:space="preserve">Liver transplantation (no., %) * </w:t>
            </w:r>
          </w:p>
        </w:tc>
        <w:tc>
          <w:tcPr>
            <w:tcW w:w="198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27 (4%)</w:t>
            </w:r>
          </w:p>
        </w:tc>
        <w:tc>
          <w:tcPr>
            <w:tcW w:w="172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17 (3%)</w:t>
            </w:r>
          </w:p>
        </w:tc>
        <w:tc>
          <w:tcPr>
            <w:tcW w:w="1964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8 (5%)</w:t>
            </w:r>
          </w:p>
        </w:tc>
        <w:tc>
          <w:tcPr>
            <w:tcW w:w="1842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2 (3%)</w:t>
            </w:r>
          </w:p>
        </w:tc>
        <w:tc>
          <w:tcPr>
            <w:tcW w:w="1781" w:type="dxa"/>
            <w:vAlign w:val="center"/>
          </w:tcPr>
          <w:p w:rsidR="00D3121B" w:rsidRPr="00A104B9" w:rsidRDefault="00D3121B" w:rsidP="002B091B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A104B9">
              <w:rPr>
                <w:rFonts w:eastAsia="MS Mincho"/>
                <w:sz w:val="20"/>
                <w:szCs w:val="20"/>
                <w:lang w:val="en-US" w:eastAsia="ja-JP"/>
              </w:rPr>
              <w:t>0.4</w:t>
            </w:r>
          </w:p>
        </w:tc>
      </w:tr>
    </w:tbl>
    <w:p w:rsidR="00D3121B" w:rsidRDefault="00D3121B" w:rsidP="00D3121B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 w:eastAsia="fr-BE"/>
        </w:rPr>
      </w:pPr>
      <w:r w:rsidRPr="00A104B9">
        <w:rPr>
          <w:sz w:val="20"/>
          <w:szCs w:val="20"/>
          <w:lang w:val="en-US"/>
        </w:rPr>
        <w:t xml:space="preserve">Abbreviations: ALD, alcoholic liver disease; </w:t>
      </w:r>
      <w:r w:rsidRPr="00A104B9">
        <w:rPr>
          <w:sz w:val="20"/>
          <w:szCs w:val="20"/>
          <w:lang w:val="en-US" w:eastAsia="fr-BE"/>
        </w:rPr>
        <w:t xml:space="preserve">HCC, hepatocellular carcinoma; HCV, hepatitis C virus; NAFLD, non-alcoholic fatty liver disease </w:t>
      </w:r>
    </w:p>
    <w:p w:rsidR="00D3121B" w:rsidRPr="00A104B9" w:rsidRDefault="00D3121B" w:rsidP="00D3121B">
      <w:pPr>
        <w:tabs>
          <w:tab w:val="left" w:pos="709"/>
        </w:tabs>
        <w:spacing w:before="120" w:after="120"/>
        <w:jc w:val="both"/>
        <w:rPr>
          <w:sz w:val="20"/>
          <w:szCs w:val="20"/>
          <w:lang w:val="en-US"/>
        </w:rPr>
      </w:pPr>
      <w:r w:rsidRPr="00A104B9">
        <w:rPr>
          <w:sz w:val="20"/>
          <w:szCs w:val="20"/>
          <w:lang w:val="en-US"/>
        </w:rPr>
        <w:t xml:space="preserve">* Data available in 738 patients </w:t>
      </w:r>
    </w:p>
    <w:p w:rsidR="00D3121B" w:rsidRDefault="00D3121B" w:rsidP="00D3121B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 w:eastAsia="fr-BE"/>
        </w:rPr>
        <w:sectPr w:rsidR="00D3121B" w:rsidSect="00A104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A0644" w:rsidRDefault="004A0644" w:rsidP="00400423">
      <w:pPr>
        <w:tabs>
          <w:tab w:val="left" w:pos="709"/>
        </w:tabs>
        <w:spacing w:after="120" w:line="480" w:lineRule="auto"/>
        <w:jc w:val="both"/>
      </w:pPr>
      <w:bookmarkStart w:id="0" w:name="_GoBack"/>
      <w:bookmarkEnd w:id="0"/>
    </w:p>
    <w:sectPr w:rsidR="004A0644" w:rsidSect="00A10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1B" w:rsidRDefault="00D3121B" w:rsidP="00D3121B">
      <w:r>
        <w:separator/>
      </w:r>
    </w:p>
  </w:endnote>
  <w:endnote w:type="continuationSeparator" w:id="0">
    <w:p w:rsidR="00D3121B" w:rsidRDefault="00D3121B" w:rsidP="00D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F4" w:rsidRDefault="00400423" w:rsidP="0037369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F4" w:rsidRDefault="00400423" w:rsidP="0037369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1B" w:rsidRDefault="00D3121B" w:rsidP="00D3121B">
      <w:r>
        <w:separator/>
      </w:r>
    </w:p>
  </w:footnote>
  <w:footnote w:type="continuationSeparator" w:id="0">
    <w:p w:rsidR="00D3121B" w:rsidRDefault="00D3121B" w:rsidP="00D31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13859"/>
      <w:docPartObj>
        <w:docPartGallery w:val="Page Numbers (Top of Page)"/>
        <w:docPartUnique/>
      </w:docPartObj>
    </w:sdtPr>
    <w:sdtEndPr/>
    <w:sdtContent>
      <w:p w:rsidR="00C750F4" w:rsidRDefault="004004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0F4" w:rsidRDefault="00400423">
    <w:pPr>
      <w:pStyle w:val="Header"/>
      <w:rPr>
        <w:lang w:val="en-US"/>
      </w:rPr>
    </w:pPr>
    <w:r>
      <w:rPr>
        <w:lang w:val="en-US"/>
      </w:rPr>
      <w:t>Patient</w:t>
    </w:r>
    <w:r w:rsidRPr="000410F1">
      <w:rPr>
        <w:lang w:val="en-US"/>
      </w:rPr>
      <w:t xml:space="preserve"> outcomes according to the etiology of cirrhosis</w:t>
    </w:r>
  </w:p>
  <w:p w:rsidR="00C750F4" w:rsidRPr="00526842" w:rsidRDefault="00400423" w:rsidP="00533E36">
    <w:pPr>
      <w:pStyle w:val="Header"/>
      <w:tabs>
        <w:tab w:val="clear" w:pos="4536"/>
        <w:tab w:val="clear" w:pos="9072"/>
        <w:tab w:val="left" w:pos="1504"/>
      </w:tabs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F4" w:rsidRDefault="0040042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121B" w:rsidRPr="000410F1" w:rsidRDefault="00400423" w:rsidP="000410F1">
    <w:pPr>
      <w:pStyle w:val="NormalWeb"/>
      <w:tabs>
        <w:tab w:val="left" w:pos="709"/>
      </w:tabs>
      <w:spacing w:before="0" w:beforeAutospacing="0" w:after="120" w:line="480" w:lineRule="auto"/>
      <w:rPr>
        <w:lang w:val="en-US"/>
      </w:rPr>
    </w:pPr>
    <w:r>
      <w:rPr>
        <w:lang w:val="en-US"/>
      </w:rPr>
      <w:t>Patient</w:t>
    </w:r>
    <w:r w:rsidRPr="000410F1">
      <w:rPr>
        <w:lang w:val="en-US"/>
      </w:rPr>
      <w:t xml:space="preserve"> outcomes according to the etiology of cirrhosis</w:t>
    </w:r>
    <w:r w:rsidR="00D3121B">
      <w:rPr>
        <w:lang w:val="en-US"/>
      </w:rPr>
      <w:t xml:space="preserve"> – Supporting information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2004"/>
      <w:docPartObj>
        <w:docPartGallery w:val="Page Numbers (Top of Page)"/>
        <w:docPartUnique/>
      </w:docPartObj>
    </w:sdtPr>
    <w:sdtEndPr/>
    <w:sdtContent>
      <w:p w:rsidR="00C750F4" w:rsidRDefault="004004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0F4" w:rsidRPr="00962507" w:rsidRDefault="00400423" w:rsidP="00962507">
    <w:pPr>
      <w:pStyle w:val="NormalWeb"/>
      <w:tabs>
        <w:tab w:val="left" w:pos="709"/>
      </w:tabs>
      <w:spacing w:before="0" w:beforeAutospacing="0" w:after="120" w:line="480" w:lineRule="auto"/>
      <w:rPr>
        <w:lang w:val="en-US"/>
      </w:rPr>
    </w:pPr>
    <w:r>
      <w:rPr>
        <w:lang w:val="en-US"/>
      </w:rPr>
      <w:t>Patient</w:t>
    </w:r>
    <w:r w:rsidRPr="000410F1">
      <w:rPr>
        <w:lang w:val="en-US"/>
      </w:rPr>
      <w:t xml:space="preserve"> outcomes accordi</w:t>
    </w:r>
    <w:r>
      <w:rPr>
        <w:lang w:val="en-US"/>
      </w:rPr>
      <w:t>ng to the etiology of cirrhosis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1B"/>
    <w:rsid w:val="00400423"/>
    <w:rsid w:val="004A0644"/>
    <w:rsid w:val="00D3121B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D7D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1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21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1B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1B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1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21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1B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rsid w:val="00D31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1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Marot</dc:creator>
  <cp:keywords/>
  <dc:description/>
  <cp:lastModifiedBy>Astrid Marot</cp:lastModifiedBy>
  <cp:revision>2</cp:revision>
  <dcterms:created xsi:type="dcterms:W3CDTF">2017-10-11T20:12:00Z</dcterms:created>
  <dcterms:modified xsi:type="dcterms:W3CDTF">2017-10-11T20:12:00Z</dcterms:modified>
</cp:coreProperties>
</file>