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E2" w:rsidRDefault="00F27E46">
      <w:pPr>
        <w:snapToGrid w:val="0"/>
        <w:spacing w:line="480" w:lineRule="auto"/>
        <w:textAlignment w:val="center"/>
        <w:rPr>
          <w:b/>
          <w:kern w:val="24"/>
          <w:sz w:val="24"/>
        </w:rPr>
      </w:pPr>
      <w:r>
        <w:rPr>
          <w:b/>
          <w:kern w:val="24"/>
          <w:sz w:val="24"/>
        </w:rPr>
        <w:t>Table4.</w:t>
      </w:r>
      <w:r>
        <w:rPr>
          <w:b/>
          <w:sz w:val="24"/>
        </w:rPr>
        <w:t>Effect of ginsenoside Rg3 on ectopic endometrial growth in rats</w:t>
      </w:r>
    </w:p>
    <w:tbl>
      <w:tblPr>
        <w:tblW w:w="8648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985"/>
        <w:gridCol w:w="426"/>
        <w:gridCol w:w="2071"/>
        <w:gridCol w:w="2323"/>
        <w:gridCol w:w="1843"/>
      </w:tblGrid>
      <w:tr w:rsidR="002D55E2"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zCs w:val="21"/>
              </w:rPr>
              <w:t>Groups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spacing w:val="10"/>
                <w:szCs w:val="21"/>
              </w:rPr>
            </w:pPr>
            <w:r>
              <w:rPr>
                <w:spacing w:val="10"/>
                <w:szCs w:val="21"/>
              </w:rPr>
              <w:t>N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pacing w:val="10"/>
                <w:szCs w:val="21"/>
              </w:rPr>
              <w:t>Ectopic endometrial volume (mm</w:t>
            </w:r>
            <w:r>
              <w:rPr>
                <w:spacing w:val="10"/>
                <w:szCs w:val="21"/>
                <w:vertAlign w:val="superscript"/>
              </w:rPr>
              <w:t>3</w:t>
            </w:r>
            <w:r>
              <w:rPr>
                <w:spacing w:val="10"/>
                <w:szCs w:val="21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Inhibition rate %</w:t>
            </w:r>
          </w:p>
        </w:tc>
      </w:tr>
      <w:tr w:rsidR="002D55E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55E2" w:rsidRDefault="002D55E2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55E2" w:rsidRDefault="002D55E2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zCs w:val="21"/>
              </w:rPr>
              <w:t>Pre-treatment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zCs w:val="21"/>
              </w:rPr>
              <w:t>Post-treatment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55E2" w:rsidRDefault="002D55E2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</w:p>
        </w:tc>
      </w:tr>
      <w:tr w:rsidR="002D55E2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D55E2" w:rsidRDefault="00F27E4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ginsenoside Rg3 low-dosage group (A)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83.47</w:t>
            </w:r>
            <w:r>
              <w:rPr>
                <w:szCs w:val="21"/>
              </w:rPr>
              <w:t>±56.65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zCs w:val="21"/>
              </w:rPr>
              <w:t>37.20±38.18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45.05</w:t>
            </w:r>
            <w:r>
              <w:rPr>
                <w:szCs w:val="21"/>
              </w:rPr>
              <w:t>±35.97</w:t>
            </w:r>
          </w:p>
        </w:tc>
      </w:tr>
      <w:tr w:rsidR="002D55E2">
        <w:tc>
          <w:tcPr>
            <w:tcW w:w="1985" w:type="dxa"/>
            <w:vAlign w:val="center"/>
          </w:tcPr>
          <w:p w:rsidR="002D55E2" w:rsidRDefault="00F27E4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ginsenoside </w:t>
            </w:r>
            <w:r>
              <w:rPr>
                <w:szCs w:val="21"/>
              </w:rPr>
              <w:t>Rg3 high-dosage group (B)</w:t>
            </w:r>
          </w:p>
        </w:tc>
        <w:tc>
          <w:tcPr>
            <w:tcW w:w="426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12</w:t>
            </w:r>
          </w:p>
        </w:tc>
        <w:tc>
          <w:tcPr>
            <w:tcW w:w="2071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77.38</w:t>
            </w:r>
            <w:r>
              <w:rPr>
                <w:szCs w:val="21"/>
              </w:rPr>
              <w:t>±53.14</w:t>
            </w:r>
          </w:p>
        </w:tc>
        <w:tc>
          <w:tcPr>
            <w:tcW w:w="232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zCs w:val="21"/>
              </w:rPr>
              <w:t>26.01±44.81</w:t>
            </w:r>
            <w:r>
              <w:rPr>
                <w:szCs w:val="21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70.29</w:t>
            </w:r>
            <w:r>
              <w:rPr>
                <w:szCs w:val="21"/>
              </w:rPr>
              <w:t>±40.58</w:t>
            </w:r>
            <w:r>
              <w:rPr>
                <w:szCs w:val="21"/>
                <w:vertAlign w:val="superscript"/>
              </w:rPr>
              <w:t>**</w:t>
            </w:r>
          </w:p>
        </w:tc>
      </w:tr>
      <w:tr w:rsidR="002D55E2">
        <w:tc>
          <w:tcPr>
            <w:tcW w:w="1985" w:type="dxa"/>
            <w:vAlign w:val="center"/>
          </w:tcPr>
          <w:p w:rsidR="002D55E2" w:rsidRDefault="00F27E4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gestrinone group(C)</w:t>
            </w:r>
          </w:p>
        </w:tc>
        <w:tc>
          <w:tcPr>
            <w:tcW w:w="426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12</w:t>
            </w:r>
          </w:p>
        </w:tc>
        <w:tc>
          <w:tcPr>
            <w:tcW w:w="2071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83.52</w:t>
            </w:r>
            <w:r>
              <w:rPr>
                <w:szCs w:val="21"/>
              </w:rPr>
              <w:t>±80.15</w:t>
            </w:r>
          </w:p>
        </w:tc>
        <w:tc>
          <w:tcPr>
            <w:tcW w:w="232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24"/>
                <w:szCs w:val="21"/>
              </w:rPr>
              <w:t>32.57</w:t>
            </w:r>
            <w:r>
              <w:rPr>
                <w:szCs w:val="21"/>
              </w:rPr>
              <w:t>±31.34</w:t>
            </w:r>
            <w:r>
              <w:rPr>
                <w:szCs w:val="21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75.95</w:t>
            </w:r>
            <w:r>
              <w:rPr>
                <w:szCs w:val="21"/>
              </w:rPr>
              <w:t>±27.68</w:t>
            </w:r>
            <w:r>
              <w:rPr>
                <w:szCs w:val="21"/>
                <w:vertAlign w:val="superscript"/>
              </w:rPr>
              <w:t>**</w:t>
            </w:r>
          </w:p>
        </w:tc>
      </w:tr>
      <w:tr w:rsidR="002D55E2">
        <w:tc>
          <w:tcPr>
            <w:tcW w:w="1985" w:type="dxa"/>
            <w:vAlign w:val="center"/>
          </w:tcPr>
          <w:p w:rsidR="002D55E2" w:rsidRDefault="00F27E4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model control group (D)</w:t>
            </w:r>
          </w:p>
        </w:tc>
        <w:tc>
          <w:tcPr>
            <w:tcW w:w="426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12</w:t>
            </w:r>
          </w:p>
        </w:tc>
        <w:tc>
          <w:tcPr>
            <w:tcW w:w="2071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71.39</w:t>
            </w:r>
            <w:r>
              <w:rPr>
                <w:szCs w:val="21"/>
              </w:rPr>
              <w:t>±52.64</w:t>
            </w:r>
          </w:p>
        </w:tc>
        <w:tc>
          <w:tcPr>
            <w:tcW w:w="232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48.41</w:t>
            </w:r>
            <w:r>
              <w:rPr>
                <w:szCs w:val="21"/>
              </w:rPr>
              <w:t>±65.76</w:t>
            </w:r>
          </w:p>
        </w:tc>
        <w:tc>
          <w:tcPr>
            <w:tcW w:w="184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31.15</w:t>
            </w:r>
            <w:r>
              <w:rPr>
                <w:szCs w:val="21"/>
              </w:rPr>
              <w:t>±76.68</w:t>
            </w:r>
          </w:p>
        </w:tc>
      </w:tr>
      <w:tr w:rsidR="002D55E2">
        <w:tc>
          <w:tcPr>
            <w:tcW w:w="1985" w:type="dxa"/>
            <w:vAlign w:val="center"/>
          </w:tcPr>
          <w:p w:rsidR="002D55E2" w:rsidRDefault="00F27E4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ovariectomized group (E)</w:t>
            </w:r>
          </w:p>
          <w:p w:rsidR="002D55E2" w:rsidRDefault="002D55E2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12</w:t>
            </w:r>
          </w:p>
        </w:tc>
        <w:tc>
          <w:tcPr>
            <w:tcW w:w="2071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szCs w:val="21"/>
              </w:rPr>
              <w:t>93.70±88.38</w:t>
            </w:r>
          </w:p>
        </w:tc>
        <w:tc>
          <w:tcPr>
            <w:tcW w:w="232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10.38</w:t>
            </w:r>
            <w:r>
              <w:rPr>
                <w:szCs w:val="21"/>
              </w:rPr>
              <w:t>±24.22</w:t>
            </w:r>
            <w:r>
              <w:rPr>
                <w:szCs w:val="21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2D55E2" w:rsidRDefault="00F27E46">
            <w:pPr>
              <w:snapToGrid w:val="0"/>
              <w:spacing w:line="360" w:lineRule="auto"/>
              <w:jc w:val="center"/>
              <w:textAlignment w:val="center"/>
              <w:rPr>
                <w:kern w:val="24"/>
                <w:szCs w:val="21"/>
              </w:rPr>
            </w:pPr>
            <w:r>
              <w:rPr>
                <w:kern w:val="24"/>
                <w:szCs w:val="21"/>
              </w:rPr>
              <w:t>85.25</w:t>
            </w:r>
            <w:r>
              <w:rPr>
                <w:szCs w:val="21"/>
              </w:rPr>
              <w:t>±13.49</w:t>
            </w:r>
            <w:r>
              <w:rPr>
                <w:szCs w:val="21"/>
                <w:vertAlign w:val="superscript"/>
              </w:rPr>
              <w:t>**</w:t>
            </w:r>
          </w:p>
        </w:tc>
      </w:tr>
    </w:tbl>
    <w:p w:rsidR="002D55E2" w:rsidRDefault="00F27E46">
      <w:pPr>
        <w:rPr>
          <w:szCs w:val="21"/>
        </w:rPr>
      </w:pPr>
      <w:r>
        <w:rPr>
          <w:szCs w:val="21"/>
          <w:vertAlign w:val="superscript"/>
        </w:rPr>
        <w:t>**</w:t>
      </w:r>
      <w:r>
        <w:rPr>
          <w:szCs w:val="21"/>
        </w:rPr>
        <w:t>P</w:t>
      </w:r>
      <w:r>
        <w:rPr>
          <w:szCs w:val="21"/>
        </w:rPr>
        <w:t>＜</w:t>
      </w:r>
      <w:r>
        <w:rPr>
          <w:szCs w:val="21"/>
        </w:rPr>
        <w:t>0.01</w:t>
      </w:r>
      <w:r>
        <w:rPr>
          <w:szCs w:val="21"/>
        </w:rPr>
        <w:t>，</w:t>
      </w:r>
      <w:r>
        <w:rPr>
          <w:szCs w:val="21"/>
          <w:vertAlign w:val="superscript"/>
        </w:rPr>
        <w:t>*</w:t>
      </w:r>
      <w:r>
        <w:rPr>
          <w:szCs w:val="21"/>
        </w:rPr>
        <w:t>P</w:t>
      </w:r>
      <w:r>
        <w:rPr>
          <w:szCs w:val="21"/>
        </w:rPr>
        <w:t>＜</w:t>
      </w:r>
      <w:r>
        <w:rPr>
          <w:szCs w:val="21"/>
        </w:rPr>
        <w:t>0.05</w:t>
      </w:r>
      <w:r>
        <w:rPr>
          <w:szCs w:val="21"/>
        </w:rPr>
        <w:t>（</w:t>
      </w:r>
      <w:r w:rsidR="00FB1C58">
        <w:rPr>
          <w:rFonts w:hint="eastAsia"/>
        </w:rPr>
        <w:t>compared with</w:t>
      </w:r>
      <w:r>
        <w:rPr>
          <w:rFonts w:hint="eastAsia"/>
        </w:rPr>
        <w:t xml:space="preserve"> </w:t>
      </w:r>
      <w:r>
        <w:t xml:space="preserve">the </w:t>
      </w:r>
      <w:r>
        <w:rPr>
          <w:rFonts w:hint="eastAsia"/>
        </w:rPr>
        <w:t>model control group</w:t>
      </w:r>
      <w:r>
        <w:rPr>
          <w:szCs w:val="21"/>
        </w:rPr>
        <w:t>）</w:t>
      </w:r>
    </w:p>
    <w:p w:rsidR="002D55E2" w:rsidRPr="00FB1C58" w:rsidRDefault="002D55E2">
      <w:bookmarkStart w:id="0" w:name="_GoBack"/>
      <w:bookmarkEnd w:id="0"/>
    </w:p>
    <w:sectPr w:rsidR="002D55E2" w:rsidRPr="00FB1C58" w:rsidSect="002D5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46" w:rsidRDefault="00F27E46" w:rsidP="00FB1C58">
      <w:r>
        <w:separator/>
      </w:r>
    </w:p>
  </w:endnote>
  <w:endnote w:type="continuationSeparator" w:id="1">
    <w:p w:rsidR="00F27E46" w:rsidRDefault="00F27E46" w:rsidP="00FB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46" w:rsidRDefault="00F27E46" w:rsidP="00FB1C58">
      <w:r>
        <w:separator/>
      </w:r>
    </w:p>
  </w:footnote>
  <w:footnote w:type="continuationSeparator" w:id="1">
    <w:p w:rsidR="00F27E46" w:rsidRDefault="00F27E46" w:rsidP="00FB1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3360EA"/>
    <w:rsid w:val="002D55E2"/>
    <w:rsid w:val="00F27E46"/>
    <w:rsid w:val="00FB1C58"/>
    <w:rsid w:val="2A33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5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B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1C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叶青</cp:lastModifiedBy>
  <cp:revision>2</cp:revision>
  <dcterms:created xsi:type="dcterms:W3CDTF">2017-10-10T16:13:00Z</dcterms:created>
  <dcterms:modified xsi:type="dcterms:W3CDTF">2017-10-11T13:34:00Z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