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1"/>
        <w:tblW w:w="8642" w:type="dxa"/>
        <w:tblLayout w:type="fixed"/>
        <w:tblLook w:val="04A0" w:firstRow="1" w:lastRow="0" w:firstColumn="1" w:lastColumn="0" w:noHBand="0" w:noVBand="1"/>
      </w:tblPr>
      <w:tblGrid>
        <w:gridCol w:w="2535"/>
        <w:gridCol w:w="1261"/>
        <w:gridCol w:w="1261"/>
        <w:gridCol w:w="1262"/>
        <w:gridCol w:w="2323"/>
      </w:tblGrid>
      <w:tr w:rsidR="00FF10F2" w:rsidRPr="002A6B73" w:rsidTr="0050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</w:p>
        </w:tc>
        <w:tc>
          <w:tcPr>
            <w:tcW w:w="6107" w:type="dxa"/>
            <w:gridSpan w:val="4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275D44">
              <w:rPr>
                <w:rFonts w:eastAsia="Times New Roman" w:cs="Times New Roman"/>
                <w:b w:val="0"/>
                <w:bCs w:val="0"/>
                <w:color w:val="000000"/>
              </w:rPr>
              <w:t>IC</w:t>
            </w:r>
            <w:r w:rsidRPr="002D75FC">
              <w:rPr>
                <w:rFonts w:eastAsia="Times New Roman" w:cs="Times New Roman"/>
                <w:b w:val="0"/>
                <w:bCs w:val="0"/>
                <w:color w:val="000000"/>
                <w:vertAlign w:val="subscript"/>
              </w:rPr>
              <w:t>50</w:t>
            </w:r>
            <w:r w:rsidRPr="002D75FC">
              <w:rPr>
                <w:rFonts w:eastAsia="Times New Roman" w:cs="Times New Roman"/>
                <w:b w:val="0"/>
                <w:bCs w:val="0"/>
                <w:color w:val="000000"/>
              </w:rPr>
              <w:t xml:space="preserve"> in µM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color w:val="000000"/>
              </w:rPr>
            </w:pPr>
            <w:r w:rsidRPr="00481064">
              <w:rPr>
                <w:rFonts w:eastAsia="Times New Roman" w:cs="Times New Roman"/>
                <w:color w:val="000000"/>
              </w:rPr>
              <w:t>REPLICATES</w:t>
            </w:r>
          </w:p>
        </w:tc>
        <w:tc>
          <w:tcPr>
            <w:tcW w:w="1261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81064">
              <w:rPr>
                <w:rFonts w:eastAsia="Times New Roman" w:cs="Times New Roman"/>
                <w:b/>
                <w:color w:val="000000"/>
              </w:rPr>
              <w:t>1</w:t>
            </w:r>
          </w:p>
        </w:tc>
        <w:tc>
          <w:tcPr>
            <w:tcW w:w="1261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75D44">
              <w:rPr>
                <w:rFonts w:eastAsia="Times New Roman" w:cs="Times New Roman"/>
                <w:b/>
                <w:color w:val="000000"/>
              </w:rPr>
              <w:t>2</w:t>
            </w:r>
          </w:p>
        </w:tc>
        <w:tc>
          <w:tcPr>
            <w:tcW w:w="1262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D75FC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2323" w:type="dxa"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2A6B73">
              <w:rPr>
                <w:rFonts w:eastAsia="Times New Roman" w:cs="Times New Roman"/>
                <w:b/>
                <w:bCs/>
                <w:color w:val="000000"/>
              </w:rPr>
              <w:t>Mean ± SD</w:t>
            </w:r>
          </w:p>
        </w:tc>
      </w:tr>
      <w:tr w:rsidR="00FF10F2" w:rsidRPr="002A6B73" w:rsidTr="0050252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Tadafil</w:t>
            </w:r>
          </w:p>
        </w:tc>
        <w:tc>
          <w:tcPr>
            <w:tcW w:w="1261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25.711</w:t>
            </w:r>
          </w:p>
        </w:tc>
        <w:tc>
          <w:tcPr>
            <w:tcW w:w="1261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20.886</w:t>
            </w:r>
          </w:p>
        </w:tc>
        <w:tc>
          <w:tcPr>
            <w:tcW w:w="1262" w:type="dxa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23.279</w:t>
            </w:r>
          </w:p>
        </w:tc>
        <w:tc>
          <w:tcPr>
            <w:tcW w:w="2323" w:type="dxa"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23.290 ± 2.413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Irinotecan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12.942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16.237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13.861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14.350 ± 1.700</w:t>
            </w:r>
          </w:p>
        </w:tc>
      </w:tr>
      <w:tr w:rsidR="00FF10F2" w:rsidRPr="002A6B73" w:rsidTr="0050252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Levofloxacin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44.260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34.165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41.871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40.100 ± 5.276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Oxaliplatin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1.154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1.057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1.258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1.156 ± 0.1003</w:t>
            </w:r>
          </w:p>
        </w:tc>
      </w:tr>
      <w:tr w:rsidR="00FF10F2" w:rsidRPr="002A6B73" w:rsidTr="0050252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Clofarabine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46.892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50.955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48.999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48.950 ± 2.032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Tacrolimus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4.6143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4.497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4.453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4.521 ± 0.083</w:t>
            </w:r>
          </w:p>
        </w:tc>
      </w:tr>
      <w:tr w:rsidR="00FF10F2" w:rsidRPr="002A6B73" w:rsidTr="0050252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 xml:space="preserve">Cladribine 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94.782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113.026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80.245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96.020 ± 16.430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 xml:space="preserve">Dasatinib 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7.955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11.071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6.770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8.599 ± 2.222</w:t>
            </w:r>
          </w:p>
        </w:tc>
      </w:tr>
      <w:tr w:rsidR="00FF10F2" w:rsidRPr="002A6B73" w:rsidTr="0050252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5"/>
            <w:noWrap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center"/>
              <w:rPr>
                <w:color w:val="000000"/>
              </w:rPr>
            </w:pPr>
            <w:r w:rsidRPr="00481064">
              <w:rPr>
                <w:rFonts w:eastAsia="Times New Roman" w:cs="Times New Roman"/>
                <w:color w:val="000000"/>
              </w:rPr>
              <w:t>Reference</w:t>
            </w:r>
            <w:r w:rsidRPr="00275D44">
              <w:rPr>
                <w:rFonts w:eastAsia="Times New Roman" w:cs="Times New Roman"/>
                <w:color w:val="000000"/>
              </w:rPr>
              <w:t xml:space="preserve"> drugs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Chloroquine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0.011326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D75FC">
              <w:rPr>
                <w:rFonts w:eastAsia="Times New Roman" w:cs="Times New Roman"/>
                <w:color w:val="000000"/>
              </w:rPr>
              <w:t>0.011289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0.012055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0.01156 ± 0.000432</w:t>
            </w:r>
          </w:p>
        </w:tc>
      </w:tr>
      <w:tr w:rsidR="00FF10F2" w:rsidRPr="002A6B73" w:rsidTr="0050252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Dihydroartemisinin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0.002619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D75FC">
              <w:rPr>
                <w:rFonts w:eastAsia="Times New Roman" w:cs="Times New Roman"/>
                <w:color w:val="000000"/>
              </w:rPr>
              <w:t>0.002741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0.002559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0.00264 ± 0.0000929</w:t>
            </w:r>
          </w:p>
        </w:tc>
      </w:tr>
      <w:tr w:rsidR="00FF10F2" w:rsidRPr="002A6B73" w:rsidTr="0050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rPr>
                <w:b w:val="0"/>
                <w:color w:val="000000"/>
              </w:rPr>
            </w:pPr>
            <w:r w:rsidRPr="00481064">
              <w:rPr>
                <w:rFonts w:eastAsia="Times New Roman" w:cs="Times New Roman"/>
                <w:b w:val="0"/>
                <w:color w:val="000000"/>
              </w:rPr>
              <w:t>Mefloquine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75D44">
              <w:rPr>
                <w:rFonts w:eastAsia="Times New Roman" w:cs="Times New Roman"/>
                <w:color w:val="000000"/>
              </w:rPr>
              <w:t>0.033702</w:t>
            </w:r>
          </w:p>
        </w:tc>
        <w:tc>
          <w:tcPr>
            <w:tcW w:w="1261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D75FC">
              <w:rPr>
                <w:rFonts w:eastAsia="Times New Roman" w:cs="Times New Roman"/>
                <w:color w:val="000000"/>
              </w:rPr>
              <w:t>0.038698</w:t>
            </w:r>
          </w:p>
        </w:tc>
        <w:tc>
          <w:tcPr>
            <w:tcW w:w="1262" w:type="dxa"/>
            <w:noWrap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A6B73">
              <w:rPr>
                <w:rFonts w:eastAsia="Times New Roman" w:cs="Times New Roman"/>
                <w:color w:val="000000"/>
              </w:rPr>
              <w:t>0.046126</w:t>
            </w:r>
          </w:p>
        </w:tc>
        <w:tc>
          <w:tcPr>
            <w:tcW w:w="2323" w:type="dxa"/>
            <w:hideMark/>
          </w:tcPr>
          <w:p w:rsidR="00FF10F2" w:rsidRPr="00D9179D" w:rsidRDefault="00FF10F2" w:rsidP="00502526">
            <w:pPr>
              <w:widowControl/>
              <w:suppressAutoHyphens w:val="0"/>
              <w:spacing w:after="120"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</w:rPr>
            </w:pPr>
            <w:r w:rsidRPr="00D9179D">
              <w:rPr>
                <w:rFonts w:eastAsia="Times New Roman" w:cs="Times New Roman"/>
                <w:b/>
                <w:color w:val="000000"/>
              </w:rPr>
              <w:t>0.03951 ± 0.006251</w:t>
            </w:r>
          </w:p>
        </w:tc>
      </w:tr>
    </w:tbl>
    <w:p w:rsidR="00936042" w:rsidRDefault="00936042">
      <w:bookmarkStart w:id="0" w:name="_GoBack"/>
      <w:bookmarkEnd w:id="0"/>
    </w:p>
    <w:sectPr w:rsidR="0093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F2"/>
    <w:rsid w:val="00936042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BBBAF-EE3D-427C-BA0D-ADA4BF3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0F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1">
    <w:name w:val="Grid Table 6 Colorful1"/>
    <w:aliases w:val="Scientific 2"/>
    <w:basedOn w:val="TableNormal"/>
    <w:uiPriority w:val="51"/>
    <w:rsid w:val="00FF10F2"/>
    <w:pPr>
      <w:spacing w:after="0" w:line="240" w:lineRule="auto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Moseti</dc:creator>
  <cp:keywords/>
  <dc:description/>
  <cp:lastModifiedBy>Reagan Moseti</cp:lastModifiedBy>
  <cp:revision>1</cp:revision>
  <dcterms:created xsi:type="dcterms:W3CDTF">2017-05-08T19:46:00Z</dcterms:created>
  <dcterms:modified xsi:type="dcterms:W3CDTF">2017-05-08T19:46:00Z</dcterms:modified>
</cp:coreProperties>
</file>