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6FD" w:rsidRDefault="004226FD" w:rsidP="004226FD">
      <w:pPr>
        <w:spacing w:after="160" w:line="256" w:lineRule="auto"/>
        <w:ind w:left="0" w:firstLine="0"/>
        <w:jc w:val="left"/>
        <w:outlineLvl w:val="0"/>
        <w:rPr>
          <w:b/>
          <w:sz w:val="36"/>
          <w:szCs w:val="36"/>
        </w:rPr>
      </w:pPr>
      <w:r w:rsidRPr="004226FD">
        <w:rPr>
          <w:b/>
          <w:sz w:val="36"/>
          <w:szCs w:val="36"/>
        </w:rPr>
        <w:t>S4 File. Cause-specific mortali</w:t>
      </w:r>
      <w:r w:rsidR="00094131">
        <w:rPr>
          <w:b/>
          <w:sz w:val="36"/>
          <w:szCs w:val="36"/>
        </w:rPr>
        <w:t>ty fractions by HIV status and s</w:t>
      </w:r>
      <w:r w:rsidRPr="004226FD">
        <w:rPr>
          <w:b/>
          <w:sz w:val="36"/>
          <w:szCs w:val="36"/>
        </w:rPr>
        <w:t xml:space="preserve">ex </w:t>
      </w:r>
    </w:p>
    <w:p w:rsidR="004226FD" w:rsidRDefault="004226FD" w:rsidP="004226FD">
      <w:pPr>
        <w:spacing w:after="0" w:line="249" w:lineRule="auto"/>
        <w:ind w:left="0"/>
        <w:jc w:val="left"/>
      </w:pPr>
      <w:r>
        <w:t>Cause-specific mortality fractions are the proportions or percentages of deaths attributable to each broad cau</w:t>
      </w:r>
      <w:r w:rsidR="00DD548F">
        <w:t>se-group and sum up to 100. In F</w:t>
      </w:r>
      <w:r>
        <w:t>ig</w:t>
      </w:r>
      <w:r w:rsidR="00EC7A69">
        <w:t xml:space="preserve"> </w:t>
      </w:r>
      <w:r w:rsidR="00DD548F">
        <w:t>A</w:t>
      </w:r>
      <w:r>
        <w:t xml:space="preserve"> below, the cause of death attribution is based on </w:t>
      </w:r>
      <w:r w:rsidR="00EC7A69">
        <w:t xml:space="preserve">VA </w:t>
      </w:r>
      <w:r>
        <w:t xml:space="preserve">interviews interpreted with the </w:t>
      </w:r>
      <w:proofErr w:type="spellStart"/>
      <w:r>
        <w:t>InSilicoVA</w:t>
      </w:r>
      <w:proofErr w:type="spellEnd"/>
      <w:r>
        <w:t xml:space="preserve"> model. In the HIV negative population, just over half of the deaths among both women and men were attributed to communicable causes. Despite that similarity, pulmonary TB deaths were three times more common among men (29%) than among women (10%). </w:t>
      </w:r>
      <w:bookmarkStart w:id="0" w:name="_Hlk486774934"/>
      <w:r>
        <w:t xml:space="preserve">Under 3% of the mortality among HIV negatives is attributed to HIV/AIDS, which could be due to both misclassification of HIV status or misclassification of the cause of death. Error in the HIV status could arise from a false negative HIV test result or from HIV </w:t>
      </w:r>
      <w:proofErr w:type="spellStart"/>
      <w:r>
        <w:t>serconversion</w:t>
      </w:r>
      <w:proofErr w:type="spellEnd"/>
      <w:r>
        <w:t xml:space="preserve"> (and death) within five years of the last HIV negative test.</w:t>
      </w:r>
    </w:p>
    <w:bookmarkEnd w:id="0"/>
    <w:p w:rsidR="004226FD" w:rsidRDefault="004226FD" w:rsidP="004226FD">
      <w:pPr>
        <w:spacing w:after="0" w:line="249" w:lineRule="auto"/>
        <w:ind w:left="0"/>
        <w:jc w:val="left"/>
      </w:pPr>
      <w:r>
        <w:t xml:space="preserve">  </w:t>
      </w:r>
    </w:p>
    <w:p w:rsidR="004226FD" w:rsidRDefault="004226FD" w:rsidP="004226FD">
      <w:pPr>
        <w:spacing w:after="3" w:line="256" w:lineRule="auto"/>
        <w:ind w:right="56"/>
        <w:jc w:val="left"/>
      </w:pPr>
      <w:r>
        <w:t xml:space="preserve">Noncommunicable diseases were </w:t>
      </w:r>
      <w:proofErr w:type="gramStart"/>
      <w:r>
        <w:t xml:space="preserve">a more common </w:t>
      </w:r>
      <w:proofErr w:type="spellStart"/>
      <w:r w:rsidR="00EC7A69">
        <w:t>CoD</w:t>
      </w:r>
      <w:proofErr w:type="spellEnd"/>
      <w:r w:rsidR="00EC7A69">
        <w:t xml:space="preserve"> for</w:t>
      </w:r>
      <w:r>
        <w:t xml:space="preserve"> HIV negative women</w:t>
      </w:r>
      <w:proofErr w:type="gramEnd"/>
      <w:r>
        <w:t xml:space="preserve"> than men. This was particularly the case for cardiovascular diseases, which accounted for 20 versus 10% of the deaths among men and women, respectively, and deaths to neoplasms (5 versus 3%). In contrast, a higher propo</w:t>
      </w:r>
      <w:bookmarkStart w:id="1" w:name="_GoBack"/>
      <w:bookmarkEnd w:id="1"/>
      <w:r>
        <w:t>rtion of men died from external causes (16 versus 6%). Maternal causes were ascribed to 1% of the deaths among HIV negative women.</w:t>
      </w:r>
    </w:p>
    <w:p w:rsidR="004226FD" w:rsidRDefault="004226FD" w:rsidP="004226FD">
      <w:pPr>
        <w:spacing w:after="3" w:line="256" w:lineRule="auto"/>
        <w:ind w:right="56"/>
        <w:jc w:val="left"/>
      </w:pPr>
    </w:p>
    <w:p w:rsidR="004226FD" w:rsidRDefault="004226FD" w:rsidP="004226FD">
      <w:pPr>
        <w:spacing w:after="238" w:line="240" w:lineRule="auto"/>
        <w:ind w:left="0"/>
        <w:jc w:val="left"/>
      </w:pPr>
      <w:r>
        <w:t>Among PLHIV, similar proportions of female and male deaths (87% and 88%, respectively) were attributed to communicable causes, but with a higher proportion of female deaths explicitly attributed to HIV/AIDS (45% versus 21%). In return, a higher proportion of male deaths were attributed to pulmonary TB (57% versus 30%). Deaths from neoplasms, cardiovascular disease, and other non-communicable diseases caused 9% of all female deaths and 3% of all male deaths. As was the case for the HIV negative population, deaths from external causes were twice as common among men compared to women (9 versus 4%), and fewer than 1% of female deaths were attributed to maternal causes.</w:t>
      </w:r>
    </w:p>
    <w:p w:rsidR="004226FD" w:rsidRDefault="004226FD" w:rsidP="004226FD">
      <w:pPr>
        <w:spacing w:after="0" w:line="249" w:lineRule="auto"/>
        <w:ind w:left="0"/>
        <w:jc w:val="left"/>
        <w:rPr>
          <w:b/>
          <w:sz w:val="20"/>
          <w:szCs w:val="20"/>
        </w:rPr>
      </w:pPr>
      <w:r>
        <w:rPr>
          <w:b/>
          <w:sz w:val="20"/>
          <w:szCs w:val="20"/>
        </w:rPr>
        <w:t>Fig</w:t>
      </w:r>
      <w:r w:rsidR="00DD548F">
        <w:rPr>
          <w:b/>
          <w:sz w:val="20"/>
          <w:szCs w:val="20"/>
        </w:rPr>
        <w:t xml:space="preserve"> A</w:t>
      </w:r>
      <w:r>
        <w:rPr>
          <w:b/>
          <w:sz w:val="20"/>
          <w:szCs w:val="20"/>
        </w:rPr>
        <w:t>. Cause-specific mortality fractions for adult deaths, by HIV status and sex (</w:t>
      </w:r>
      <w:proofErr w:type="spellStart"/>
      <w:r>
        <w:rPr>
          <w:b/>
          <w:sz w:val="20"/>
          <w:szCs w:val="20"/>
        </w:rPr>
        <w:t>InSilicoVA</w:t>
      </w:r>
      <w:proofErr w:type="spellEnd"/>
      <w:r>
        <w:rPr>
          <w:b/>
          <w:sz w:val="20"/>
          <w:szCs w:val="20"/>
        </w:rPr>
        <w:t xml:space="preserve">, 2010-2014) </w:t>
      </w:r>
    </w:p>
    <w:p w:rsidR="004226FD" w:rsidRDefault="004226FD" w:rsidP="004226FD">
      <w:pPr>
        <w:spacing w:after="0" w:line="249" w:lineRule="auto"/>
        <w:ind w:left="0"/>
        <w:jc w:val="left"/>
        <w:rPr>
          <w:b/>
          <w:sz w:val="20"/>
          <w:szCs w:val="20"/>
        </w:rPr>
      </w:pPr>
    </w:p>
    <w:p w:rsidR="004226FD" w:rsidRDefault="004226FD" w:rsidP="004226FD">
      <w:pPr>
        <w:pStyle w:val="ListParagraph"/>
        <w:numPr>
          <w:ilvl w:val="0"/>
          <w:numId w:val="1"/>
        </w:numPr>
        <w:spacing w:after="0" w:line="249" w:lineRule="auto"/>
        <w:rPr>
          <w:b/>
          <w:sz w:val="20"/>
          <w:szCs w:val="20"/>
        </w:rPr>
      </w:pPr>
      <w:r>
        <w:rPr>
          <w:b/>
          <w:sz w:val="20"/>
          <w:szCs w:val="20"/>
        </w:rPr>
        <w:t>HIV negative</w:t>
      </w:r>
      <w:r>
        <w:rPr>
          <w:b/>
          <w:sz w:val="20"/>
          <w:szCs w:val="20"/>
        </w:rPr>
        <w:tab/>
      </w:r>
      <w:r>
        <w:rPr>
          <w:b/>
          <w:sz w:val="20"/>
          <w:szCs w:val="20"/>
        </w:rPr>
        <w:tab/>
      </w:r>
      <w:r>
        <w:rPr>
          <w:b/>
          <w:sz w:val="20"/>
          <w:szCs w:val="20"/>
        </w:rPr>
        <w:tab/>
        <w:t>(b) HIV positive</w:t>
      </w:r>
    </w:p>
    <w:p w:rsidR="004226FD" w:rsidRDefault="004226FD" w:rsidP="004226FD">
      <w:pPr>
        <w:spacing w:after="0" w:line="240" w:lineRule="auto"/>
        <w:ind w:left="0"/>
        <w:jc w:val="left"/>
        <w:rPr>
          <w:sz w:val="20"/>
          <w:szCs w:val="20"/>
        </w:rPr>
      </w:pPr>
      <w:r>
        <w:rPr>
          <w:noProof/>
          <w:sz w:val="20"/>
          <w:szCs w:val="20"/>
          <w:lang w:val="en-US" w:eastAsia="en-US"/>
        </w:rPr>
        <w:drawing>
          <wp:inline distT="0" distB="0" distL="0" distR="0">
            <wp:extent cx="473202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816" r="19586" b="10155"/>
                    <a:stretch/>
                  </pic:blipFill>
                  <pic:spPr bwMode="auto">
                    <a:xfrm>
                      <a:off x="0" y="0"/>
                      <a:ext cx="4732020" cy="2590800"/>
                    </a:xfrm>
                    <a:prstGeom prst="rect">
                      <a:avLst/>
                    </a:prstGeom>
                    <a:noFill/>
                    <a:ln>
                      <a:noFill/>
                    </a:ln>
                    <a:extLst>
                      <a:ext uri="{53640926-AAD7-44D8-BBD7-CCE9431645EC}">
                        <a14:shadowObscured xmlns:a14="http://schemas.microsoft.com/office/drawing/2010/main"/>
                      </a:ext>
                    </a:extLst>
                  </pic:spPr>
                </pic:pic>
              </a:graphicData>
            </a:graphic>
          </wp:inline>
        </w:drawing>
      </w:r>
    </w:p>
    <w:p w:rsidR="004226FD" w:rsidRDefault="004226FD" w:rsidP="004226FD">
      <w:pPr>
        <w:spacing w:after="0" w:line="240" w:lineRule="auto"/>
        <w:ind w:left="0"/>
        <w:jc w:val="left"/>
        <w:rPr>
          <w:sz w:val="20"/>
          <w:szCs w:val="20"/>
        </w:rPr>
      </w:pPr>
    </w:p>
    <w:p w:rsidR="00D47D01" w:rsidRPr="004226FD" w:rsidRDefault="004226FD" w:rsidP="00EC7A69">
      <w:pPr>
        <w:spacing w:after="0" w:line="249" w:lineRule="auto"/>
        <w:ind w:left="0" w:firstLine="0"/>
        <w:jc w:val="center"/>
        <w:rPr>
          <w:sz w:val="18"/>
          <w:szCs w:val="20"/>
        </w:rPr>
      </w:pPr>
      <w:r>
        <w:rPr>
          <w:noProof/>
          <w:sz w:val="18"/>
          <w:szCs w:val="20"/>
        </w:rPr>
        <w:drawing>
          <wp:inline distT="0" distB="0" distL="0" distR="0">
            <wp:extent cx="4602480" cy="548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2480" cy="548640"/>
                    </a:xfrm>
                    <a:prstGeom prst="rect">
                      <a:avLst/>
                    </a:prstGeom>
                    <a:noFill/>
                    <a:ln>
                      <a:noFill/>
                    </a:ln>
                  </pic:spPr>
                </pic:pic>
              </a:graphicData>
            </a:graphic>
          </wp:inline>
        </w:drawing>
      </w:r>
    </w:p>
    <w:sectPr w:rsidR="00D47D01" w:rsidRPr="00422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809DE"/>
    <w:multiLevelType w:val="hybridMultilevel"/>
    <w:tmpl w:val="F6803078"/>
    <w:lvl w:ilvl="0" w:tplc="0C8A6C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FD"/>
    <w:rsid w:val="00094131"/>
    <w:rsid w:val="004226FD"/>
    <w:rsid w:val="008D0E79"/>
    <w:rsid w:val="00D47D01"/>
    <w:rsid w:val="00DD548F"/>
    <w:rsid w:val="00EC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DBD1"/>
  <w15:chartTrackingRefBased/>
  <w15:docId w15:val="{B902D91E-C3FE-485A-B202-84D2C173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6FD"/>
    <w:pPr>
      <w:spacing w:after="5" w:line="247" w:lineRule="auto"/>
      <w:ind w:left="10" w:hanging="10"/>
      <w:jc w:val="both"/>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2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Reniers</dc:creator>
  <cp:keywords/>
  <dc:description/>
  <cp:lastModifiedBy>Georges Reniers</cp:lastModifiedBy>
  <cp:revision>4</cp:revision>
  <dcterms:created xsi:type="dcterms:W3CDTF">2017-09-25T11:30:00Z</dcterms:created>
  <dcterms:modified xsi:type="dcterms:W3CDTF">2017-09-28T12:05:00Z</dcterms:modified>
</cp:coreProperties>
</file>