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60FFF" w14:textId="23A7C303" w:rsidR="0096553A" w:rsidRPr="00C87F90" w:rsidRDefault="00780CDD" w:rsidP="0096553A">
      <w:pPr>
        <w:spacing w:line="480" w:lineRule="auto"/>
        <w:jc w:val="center"/>
        <w:rPr>
          <w:b/>
          <w:u w:val="single"/>
          <w:lang w:val="en-GB"/>
        </w:rPr>
      </w:pPr>
      <w:r>
        <w:rPr>
          <w:b/>
          <w:u w:val="single"/>
          <w:lang w:val="en-GB"/>
        </w:rPr>
        <w:t>S2 File</w:t>
      </w:r>
      <w:r w:rsidR="0096553A" w:rsidRPr="00C87F90">
        <w:rPr>
          <w:b/>
          <w:u w:val="single"/>
          <w:lang w:val="en-GB"/>
        </w:rPr>
        <w:t>: Chloroplast marker procedures</w:t>
      </w:r>
    </w:p>
    <w:p w14:paraId="309087E6" w14:textId="77777777" w:rsidR="0096553A" w:rsidRPr="00FF4B9D" w:rsidRDefault="0096553A" w:rsidP="0096553A">
      <w:pPr>
        <w:spacing w:line="480" w:lineRule="auto"/>
        <w:rPr>
          <w:u w:val="single"/>
          <w:lang w:val="en-GB"/>
        </w:rPr>
      </w:pPr>
      <w:r>
        <w:rPr>
          <w:u w:val="single"/>
          <w:lang w:val="en-GB"/>
        </w:rPr>
        <w:t>DNA amplification</w:t>
      </w:r>
      <w:r w:rsidRPr="00FF4B9D">
        <w:rPr>
          <w:u w:val="single"/>
          <w:lang w:val="en-GB"/>
        </w:rPr>
        <w:t>:</w:t>
      </w:r>
    </w:p>
    <w:p w14:paraId="33BA495D" w14:textId="77777777" w:rsidR="0096553A" w:rsidRDefault="0096553A" w:rsidP="0096553A">
      <w:pPr>
        <w:spacing w:line="480" w:lineRule="auto"/>
        <w:ind w:firstLine="720"/>
        <w:rPr>
          <w:lang w:val="en-GB"/>
        </w:rPr>
      </w:pPr>
      <w:r>
        <w:rPr>
          <w:lang w:val="en-GB"/>
        </w:rPr>
        <w:t xml:space="preserve">We sequenced four regions of the chloroplast genome found to be variable within the genus </w:t>
      </w:r>
      <w:r w:rsidRPr="00B8162E">
        <w:rPr>
          <w:i/>
          <w:lang w:val="en-GB"/>
        </w:rPr>
        <w:t>Solidago</w:t>
      </w:r>
      <w:r>
        <w:rPr>
          <w:lang w:val="en-GB"/>
        </w:rPr>
        <w:t xml:space="preserve"> (</w:t>
      </w:r>
      <w:r w:rsidRPr="00190CA8">
        <w:rPr>
          <w:lang w:val="en-GB"/>
        </w:rPr>
        <w:t>t</w:t>
      </w:r>
      <w:r>
        <w:rPr>
          <w:lang w:val="en-GB"/>
        </w:rPr>
        <w:t>rnH-psbA, rpl36-rps8</w:t>
      </w:r>
      <w:r w:rsidRPr="00190CA8">
        <w:rPr>
          <w:lang w:val="en-GB"/>
        </w:rPr>
        <w:t>, trnK-</w:t>
      </w:r>
      <w:r>
        <w:rPr>
          <w:lang w:val="en-GB"/>
        </w:rPr>
        <w:t>rps16, and trnV-atpE; Kress et al. 2005, Schlaepfer et al. 2008) f</w:t>
      </w:r>
      <w:r w:rsidRPr="00190CA8">
        <w:rPr>
          <w:lang w:val="en-GB"/>
        </w:rPr>
        <w:t xml:space="preserve">or up to 5 individuals per population of </w:t>
      </w:r>
      <w:r w:rsidRPr="00190CA8">
        <w:rPr>
          <w:i/>
          <w:lang w:val="en-GB"/>
        </w:rPr>
        <w:t>Solidago canadensis</w:t>
      </w:r>
      <w:r>
        <w:rPr>
          <w:lang w:val="en-GB"/>
        </w:rPr>
        <w:t xml:space="preserve"> (N=224).  These regions make up a </w:t>
      </w:r>
      <w:r w:rsidRPr="00190CA8">
        <w:rPr>
          <w:lang w:val="en-GB"/>
        </w:rPr>
        <w:t>total of 3,222 base pairs</w:t>
      </w:r>
      <w:r>
        <w:rPr>
          <w:lang w:val="en-GB"/>
        </w:rPr>
        <w:t xml:space="preserve">.  </w:t>
      </w:r>
      <w:r w:rsidRPr="00190CA8">
        <w:rPr>
          <w:lang w:val="en-GB"/>
        </w:rPr>
        <w:t xml:space="preserve">For primer information </w:t>
      </w:r>
      <w:r>
        <w:rPr>
          <w:lang w:val="en-GB"/>
        </w:rPr>
        <w:t>and references, refer to Table 1</w:t>
      </w:r>
      <w:r w:rsidRPr="00190CA8">
        <w:rPr>
          <w:lang w:val="en-GB"/>
        </w:rPr>
        <w:t xml:space="preserve">. </w:t>
      </w:r>
    </w:p>
    <w:p w14:paraId="0C9D4137" w14:textId="52E1D21D" w:rsidR="0096553A" w:rsidRPr="001B14E3" w:rsidRDefault="0096553A" w:rsidP="0096553A">
      <w:pPr>
        <w:pStyle w:val="Caption"/>
        <w:keepNext/>
        <w:rPr>
          <w:color w:val="auto"/>
          <w:sz w:val="22"/>
          <w:szCs w:val="22"/>
        </w:rPr>
      </w:pPr>
      <w:r w:rsidRPr="001B14E3">
        <w:rPr>
          <w:color w:val="auto"/>
          <w:sz w:val="22"/>
          <w:szCs w:val="22"/>
        </w:rPr>
        <w:t xml:space="preserve">Table </w:t>
      </w:r>
      <w:r w:rsidR="00E7547E">
        <w:rPr>
          <w:color w:val="auto"/>
          <w:sz w:val="22"/>
          <w:szCs w:val="22"/>
        </w:rPr>
        <w:t xml:space="preserve">A: </w:t>
      </w:r>
      <w:r w:rsidRPr="001B14E3">
        <w:rPr>
          <w:color w:val="auto"/>
          <w:sz w:val="22"/>
          <w:szCs w:val="22"/>
          <w:lang w:val="en-GB"/>
        </w:rPr>
        <w:t>Information on chloroplast gene regions used in this study</w:t>
      </w:r>
    </w:p>
    <w:tbl>
      <w:tblPr>
        <w:tblW w:w="7134" w:type="dxa"/>
        <w:tblInd w:w="93" w:type="dxa"/>
        <w:tblLook w:val="04A0" w:firstRow="1" w:lastRow="0" w:firstColumn="1" w:lastColumn="0" w:noHBand="0" w:noVBand="1"/>
      </w:tblPr>
      <w:tblGrid>
        <w:gridCol w:w="1195"/>
        <w:gridCol w:w="1590"/>
        <w:gridCol w:w="2809"/>
        <w:gridCol w:w="1020"/>
        <w:gridCol w:w="520"/>
      </w:tblGrid>
      <w:tr w:rsidR="0096553A" w:rsidRPr="00A47DF0" w14:paraId="00AF5A3A" w14:textId="77777777" w:rsidTr="00554ED8">
        <w:trPr>
          <w:trHeight w:val="300"/>
        </w:trPr>
        <w:tc>
          <w:tcPr>
            <w:tcW w:w="11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98F3" w14:textId="77777777" w:rsidR="0096553A" w:rsidRPr="00A47DF0" w:rsidRDefault="0096553A" w:rsidP="00554ED8">
            <w:pPr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A47DF0">
              <w:rPr>
                <w:rFonts w:eastAsia="Times New Roman" w:cs="Times New Roman"/>
                <w:b/>
                <w:bCs/>
                <w:sz w:val="18"/>
                <w:szCs w:val="18"/>
              </w:rPr>
              <w:t>Locus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5E13" w14:textId="77777777" w:rsidR="0096553A" w:rsidRPr="00A47DF0" w:rsidRDefault="0096553A" w:rsidP="00554ED8">
            <w:pPr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A47DF0">
              <w:rPr>
                <w:rFonts w:eastAsia="Times New Roman" w:cs="Times New Roman"/>
                <w:b/>
                <w:bCs/>
                <w:sz w:val="18"/>
                <w:szCs w:val="18"/>
              </w:rPr>
              <w:t>Primer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B06D" w14:textId="77777777" w:rsidR="0096553A" w:rsidRPr="00A47DF0" w:rsidRDefault="0096553A" w:rsidP="00554ED8">
            <w:pPr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A47DF0">
              <w:rPr>
                <w:rFonts w:eastAsia="Times New Roman" w:cs="Times New Roman"/>
                <w:b/>
                <w:bCs/>
                <w:sz w:val="18"/>
                <w:szCs w:val="18"/>
              </w:rPr>
              <w:t>Seq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uence</w:t>
            </w:r>
            <w:r w:rsidRPr="00A47DF0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(5' - 3')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4846" w14:textId="77777777" w:rsidR="0096553A" w:rsidRPr="00A47DF0" w:rsidRDefault="0096553A" w:rsidP="00554ED8">
            <w:pPr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A47DF0">
              <w:rPr>
                <w:rFonts w:eastAsia="Times New Roman" w:cs="Times New Roman"/>
                <w:b/>
                <w:bCs/>
                <w:sz w:val="18"/>
                <w:szCs w:val="18"/>
              </w:rPr>
              <w:t>Length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76E1" w14:textId="77777777" w:rsidR="0096553A" w:rsidRPr="00A47DF0" w:rsidRDefault="0096553A" w:rsidP="00554ED8">
            <w:pPr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A47DF0">
              <w:rPr>
                <w:rFonts w:eastAsia="Times New Roman" w:cs="Times New Roman"/>
                <w:b/>
                <w:bCs/>
                <w:sz w:val="18"/>
                <w:szCs w:val="18"/>
              </w:rPr>
              <w:t>T</w:t>
            </w:r>
            <w:r w:rsidRPr="00A47DF0">
              <w:rPr>
                <w:rFonts w:eastAsia="Times New Roman" w:cs="Times New Roman"/>
                <w:b/>
                <w:bCs/>
                <w:sz w:val="18"/>
                <w:szCs w:val="18"/>
                <w:vertAlign w:val="subscript"/>
              </w:rPr>
              <w:t>A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*</w:t>
            </w:r>
          </w:p>
        </w:tc>
      </w:tr>
      <w:tr w:rsidR="0096553A" w:rsidRPr="00A47DF0" w14:paraId="3AA53C70" w14:textId="77777777" w:rsidTr="00554ED8">
        <w:trPr>
          <w:trHeight w:val="260"/>
        </w:trPr>
        <w:tc>
          <w:tcPr>
            <w:tcW w:w="119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174C" w14:textId="77777777" w:rsidR="0096553A" w:rsidRPr="00A47DF0" w:rsidRDefault="0096553A" w:rsidP="00554ED8">
            <w:pPr>
              <w:rPr>
                <w:rFonts w:eastAsia="Times New Roman" w:cs="Times New Roman"/>
                <w:sz w:val="18"/>
                <w:szCs w:val="18"/>
              </w:rPr>
            </w:pPr>
            <w:r w:rsidRPr="00A47DF0">
              <w:rPr>
                <w:rFonts w:eastAsia="Times New Roman" w:cs="Times New Roman"/>
                <w:sz w:val="18"/>
                <w:szCs w:val="18"/>
              </w:rPr>
              <w:t>trnH-psbA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A03C" w14:textId="77777777" w:rsidR="0096553A" w:rsidRPr="00A47DF0" w:rsidRDefault="0096553A" w:rsidP="00554ED8">
            <w:pPr>
              <w:rPr>
                <w:rFonts w:eastAsia="Times New Roman" w:cs="Times New Roman"/>
                <w:sz w:val="18"/>
                <w:szCs w:val="18"/>
              </w:rPr>
            </w:pPr>
            <w:r w:rsidRPr="00A47DF0">
              <w:rPr>
                <w:rFonts w:eastAsia="Times New Roman" w:cs="Times New Roman"/>
                <w:sz w:val="18"/>
                <w:szCs w:val="18"/>
              </w:rPr>
              <w:t>trnH-f</w:t>
            </w:r>
          </w:p>
        </w:tc>
        <w:tc>
          <w:tcPr>
            <w:tcW w:w="28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FE88" w14:textId="77777777" w:rsidR="0096553A" w:rsidRPr="00A47DF0" w:rsidRDefault="0096553A" w:rsidP="00554ED8">
            <w:pPr>
              <w:rPr>
                <w:rFonts w:eastAsia="Times New Roman" w:cs="Times New Roman"/>
                <w:sz w:val="18"/>
                <w:szCs w:val="18"/>
              </w:rPr>
            </w:pPr>
            <w:r w:rsidRPr="00A47DF0">
              <w:rPr>
                <w:rFonts w:eastAsia="Times New Roman" w:cs="Times New Roman"/>
                <w:sz w:val="18"/>
                <w:szCs w:val="18"/>
              </w:rPr>
              <w:t>CGCGCATGGTGGATTCACAAATC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6DFD" w14:textId="77777777" w:rsidR="0096553A" w:rsidRPr="00A47DF0" w:rsidRDefault="0096553A" w:rsidP="00554ED8">
            <w:pPr>
              <w:rPr>
                <w:rFonts w:eastAsia="Times New Roman" w:cs="Times New Roman"/>
                <w:sz w:val="18"/>
                <w:szCs w:val="18"/>
              </w:rPr>
            </w:pPr>
            <w:r w:rsidRPr="00A47DF0">
              <w:rPr>
                <w:rFonts w:eastAsia="Times New Roman" w:cs="Times New Roman"/>
                <w:sz w:val="18"/>
                <w:szCs w:val="18"/>
              </w:rPr>
              <w:t>411-590</w:t>
            </w:r>
          </w:p>
        </w:tc>
        <w:tc>
          <w:tcPr>
            <w:tcW w:w="5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60CC" w14:textId="77777777" w:rsidR="0096553A" w:rsidRPr="00A47DF0" w:rsidRDefault="0096553A" w:rsidP="00554ED8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A47DF0">
              <w:rPr>
                <w:rFonts w:eastAsia="Times New Roman" w:cs="Times New Roman"/>
                <w:sz w:val="18"/>
                <w:szCs w:val="18"/>
              </w:rPr>
              <w:t>52</w:t>
            </w:r>
          </w:p>
        </w:tc>
      </w:tr>
      <w:tr w:rsidR="0096553A" w:rsidRPr="00A47DF0" w14:paraId="00D6E652" w14:textId="77777777" w:rsidTr="00554ED8">
        <w:trPr>
          <w:trHeight w:val="260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700C75B8" w14:textId="77777777" w:rsidR="0096553A" w:rsidRPr="00A47DF0" w:rsidRDefault="0096553A" w:rsidP="00554ED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290CF64D" w14:textId="77777777" w:rsidR="0096553A" w:rsidRPr="00A47DF0" w:rsidRDefault="0096553A" w:rsidP="00554ED8">
            <w:pPr>
              <w:rPr>
                <w:rFonts w:eastAsia="Times New Roman" w:cs="Times New Roman"/>
                <w:sz w:val="18"/>
                <w:szCs w:val="18"/>
              </w:rPr>
            </w:pPr>
            <w:r w:rsidRPr="00A47DF0">
              <w:rPr>
                <w:rFonts w:eastAsia="Times New Roman" w:cs="Times New Roman"/>
                <w:sz w:val="18"/>
                <w:szCs w:val="18"/>
              </w:rPr>
              <w:t>psbA-r</w:t>
            </w:r>
          </w:p>
          <w:p w14:paraId="7151B585" w14:textId="77777777" w:rsidR="0096553A" w:rsidRPr="00A47DF0" w:rsidRDefault="0096553A" w:rsidP="00554ED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09" w:type="dxa"/>
            <w:shd w:val="clear" w:color="auto" w:fill="auto"/>
            <w:noWrap/>
            <w:vAlign w:val="bottom"/>
            <w:hideMark/>
          </w:tcPr>
          <w:p w14:paraId="66ADAF71" w14:textId="77777777" w:rsidR="0096553A" w:rsidRPr="00A47DF0" w:rsidRDefault="0096553A" w:rsidP="00554ED8">
            <w:pPr>
              <w:rPr>
                <w:rFonts w:eastAsia="Times New Roman" w:cs="Times New Roman"/>
                <w:sz w:val="18"/>
                <w:szCs w:val="18"/>
              </w:rPr>
            </w:pPr>
            <w:r w:rsidRPr="00A47DF0">
              <w:rPr>
                <w:rFonts w:eastAsia="Times New Roman" w:cs="Times New Roman"/>
                <w:sz w:val="18"/>
                <w:szCs w:val="18"/>
              </w:rPr>
              <w:t>TGCATGGTTCCTTGGTAACTTC</w:t>
            </w:r>
          </w:p>
          <w:p w14:paraId="30307345" w14:textId="77777777" w:rsidR="0096553A" w:rsidRPr="00A47DF0" w:rsidRDefault="0096553A" w:rsidP="00554ED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DC2E326" w14:textId="77777777" w:rsidR="0096553A" w:rsidRPr="00A47DF0" w:rsidRDefault="0096553A" w:rsidP="00554ED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89114C7" w14:textId="77777777" w:rsidR="0096553A" w:rsidRPr="00A47DF0" w:rsidRDefault="0096553A" w:rsidP="00554ED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6553A" w:rsidRPr="00A47DF0" w14:paraId="3A93B65B" w14:textId="77777777" w:rsidTr="00554ED8">
        <w:trPr>
          <w:trHeight w:val="260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4F4E8AF7" w14:textId="77777777" w:rsidR="0096553A" w:rsidRPr="00A47DF0" w:rsidRDefault="0096553A" w:rsidP="00554ED8">
            <w:pPr>
              <w:rPr>
                <w:rFonts w:eastAsia="Times New Roman" w:cs="Times New Roman"/>
                <w:sz w:val="18"/>
                <w:szCs w:val="18"/>
              </w:rPr>
            </w:pPr>
            <w:r w:rsidRPr="00A47DF0">
              <w:rPr>
                <w:rFonts w:eastAsia="Times New Roman" w:cs="Times New Roman"/>
                <w:sz w:val="18"/>
                <w:szCs w:val="18"/>
              </w:rPr>
              <w:t>rpl36-rps8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133601E6" w14:textId="77777777" w:rsidR="0096553A" w:rsidRPr="00A47DF0" w:rsidRDefault="0096553A" w:rsidP="00554ED8">
            <w:pPr>
              <w:rPr>
                <w:rFonts w:eastAsia="Times New Roman" w:cs="Times New Roman"/>
                <w:sz w:val="18"/>
                <w:szCs w:val="18"/>
              </w:rPr>
            </w:pPr>
            <w:r w:rsidRPr="00A47DF0">
              <w:rPr>
                <w:rFonts w:eastAsia="Times New Roman" w:cs="Times New Roman"/>
                <w:sz w:val="18"/>
                <w:szCs w:val="18"/>
              </w:rPr>
              <w:t>rpl36f</w:t>
            </w:r>
          </w:p>
        </w:tc>
        <w:tc>
          <w:tcPr>
            <w:tcW w:w="2809" w:type="dxa"/>
            <w:shd w:val="clear" w:color="auto" w:fill="auto"/>
            <w:noWrap/>
            <w:vAlign w:val="bottom"/>
            <w:hideMark/>
          </w:tcPr>
          <w:p w14:paraId="19F37D2B" w14:textId="77777777" w:rsidR="0096553A" w:rsidRPr="00A47DF0" w:rsidRDefault="0096553A" w:rsidP="00554ED8">
            <w:pPr>
              <w:rPr>
                <w:rFonts w:eastAsia="Times New Roman" w:cs="Times New Roman"/>
                <w:sz w:val="18"/>
                <w:szCs w:val="18"/>
              </w:rPr>
            </w:pPr>
            <w:r w:rsidRPr="00A47DF0">
              <w:rPr>
                <w:rFonts w:eastAsia="Times New Roman" w:cs="Times New Roman"/>
                <w:sz w:val="18"/>
                <w:szCs w:val="18"/>
              </w:rPr>
              <w:t>CACAAATTTTACGAACGAAG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D159F55" w14:textId="77777777" w:rsidR="0096553A" w:rsidRPr="00A47DF0" w:rsidRDefault="0096553A" w:rsidP="00554ED8">
            <w:pPr>
              <w:rPr>
                <w:rFonts w:eastAsia="Times New Roman" w:cs="Times New Roman"/>
                <w:sz w:val="18"/>
                <w:szCs w:val="18"/>
              </w:rPr>
            </w:pPr>
            <w:r w:rsidRPr="00A47DF0">
              <w:rPr>
                <w:rFonts w:eastAsia="Times New Roman" w:cs="Times New Roman"/>
                <w:sz w:val="18"/>
                <w:szCs w:val="18"/>
              </w:rPr>
              <w:t>492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18E4903" w14:textId="77777777" w:rsidR="0096553A" w:rsidRPr="00A47DF0" w:rsidRDefault="0096553A" w:rsidP="00554ED8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A47DF0">
              <w:rPr>
                <w:rFonts w:eastAsia="Times New Roman" w:cs="Times New Roman"/>
                <w:sz w:val="18"/>
                <w:szCs w:val="18"/>
              </w:rPr>
              <w:t>48</w:t>
            </w:r>
          </w:p>
        </w:tc>
      </w:tr>
      <w:tr w:rsidR="0096553A" w:rsidRPr="00A47DF0" w14:paraId="74504439" w14:textId="77777777" w:rsidTr="00554ED8">
        <w:trPr>
          <w:trHeight w:val="260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4FC798B9" w14:textId="77777777" w:rsidR="0096553A" w:rsidRPr="00A47DF0" w:rsidRDefault="0096553A" w:rsidP="00554ED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373ADEFA" w14:textId="77777777" w:rsidR="0096553A" w:rsidRPr="00A47DF0" w:rsidRDefault="0096553A" w:rsidP="00554ED8">
            <w:pPr>
              <w:rPr>
                <w:rFonts w:eastAsia="Times New Roman" w:cs="Times New Roman"/>
                <w:sz w:val="18"/>
                <w:szCs w:val="18"/>
              </w:rPr>
            </w:pPr>
            <w:r w:rsidRPr="00A47DF0">
              <w:rPr>
                <w:rFonts w:eastAsia="Times New Roman" w:cs="Times New Roman"/>
                <w:sz w:val="18"/>
                <w:szCs w:val="18"/>
              </w:rPr>
              <w:t>rps8r</w:t>
            </w:r>
          </w:p>
          <w:p w14:paraId="6888FAA1" w14:textId="77777777" w:rsidR="0096553A" w:rsidRPr="00A47DF0" w:rsidRDefault="0096553A" w:rsidP="00554ED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829" w:type="dxa"/>
            <w:gridSpan w:val="2"/>
            <w:shd w:val="clear" w:color="auto" w:fill="auto"/>
            <w:noWrap/>
            <w:vAlign w:val="bottom"/>
            <w:hideMark/>
          </w:tcPr>
          <w:p w14:paraId="6A03DC36" w14:textId="77777777" w:rsidR="0096553A" w:rsidRPr="00A47DF0" w:rsidRDefault="0096553A" w:rsidP="00554ED8">
            <w:pPr>
              <w:rPr>
                <w:rFonts w:eastAsia="Times New Roman" w:cs="Times New Roman"/>
                <w:sz w:val="18"/>
                <w:szCs w:val="18"/>
              </w:rPr>
            </w:pPr>
            <w:r w:rsidRPr="00A47DF0">
              <w:rPr>
                <w:rFonts w:eastAsia="Times New Roman" w:cs="Times New Roman"/>
                <w:sz w:val="18"/>
                <w:szCs w:val="18"/>
              </w:rPr>
              <w:t>TAATGACAGAYCGAGARGCTCGAC</w:t>
            </w:r>
          </w:p>
          <w:p w14:paraId="3123E8C6" w14:textId="77777777" w:rsidR="0096553A" w:rsidRPr="00A47DF0" w:rsidRDefault="0096553A" w:rsidP="00554ED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9A5AFA6" w14:textId="77777777" w:rsidR="0096553A" w:rsidRPr="00A47DF0" w:rsidRDefault="0096553A" w:rsidP="00554ED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6553A" w:rsidRPr="00A47DF0" w14:paraId="0319F9C8" w14:textId="77777777" w:rsidTr="00554ED8">
        <w:trPr>
          <w:trHeight w:val="260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46564581" w14:textId="77777777" w:rsidR="0096553A" w:rsidRPr="00A47DF0" w:rsidRDefault="0096553A" w:rsidP="00554ED8">
            <w:pPr>
              <w:rPr>
                <w:rFonts w:eastAsia="Times New Roman" w:cs="Times New Roman"/>
                <w:sz w:val="18"/>
                <w:szCs w:val="18"/>
              </w:rPr>
            </w:pPr>
            <w:r w:rsidRPr="00A47DF0">
              <w:rPr>
                <w:rFonts w:eastAsia="Times New Roman" w:cs="Times New Roman"/>
                <w:sz w:val="18"/>
                <w:szCs w:val="18"/>
              </w:rPr>
              <w:t>trnK-rps16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76B53702" w14:textId="77777777" w:rsidR="0096553A" w:rsidRPr="00A47DF0" w:rsidRDefault="0096553A" w:rsidP="00554ED8">
            <w:pPr>
              <w:rPr>
                <w:rFonts w:eastAsia="Times New Roman" w:cs="Times New Roman"/>
                <w:sz w:val="18"/>
                <w:szCs w:val="18"/>
              </w:rPr>
            </w:pPr>
            <w:r w:rsidRPr="00A47DF0">
              <w:rPr>
                <w:rFonts w:eastAsia="Times New Roman" w:cs="Times New Roman"/>
                <w:sz w:val="18"/>
                <w:szCs w:val="18"/>
              </w:rPr>
              <w:t>trnK5'r</w:t>
            </w:r>
          </w:p>
        </w:tc>
        <w:tc>
          <w:tcPr>
            <w:tcW w:w="2809" w:type="dxa"/>
            <w:shd w:val="clear" w:color="auto" w:fill="auto"/>
            <w:noWrap/>
            <w:vAlign w:val="bottom"/>
            <w:hideMark/>
          </w:tcPr>
          <w:p w14:paraId="210C3D11" w14:textId="77777777" w:rsidR="0096553A" w:rsidRPr="00A47DF0" w:rsidRDefault="0096553A" w:rsidP="00554ED8">
            <w:pPr>
              <w:rPr>
                <w:rFonts w:eastAsia="Times New Roman" w:cs="Times New Roman"/>
                <w:sz w:val="18"/>
                <w:szCs w:val="18"/>
              </w:rPr>
            </w:pPr>
            <w:r w:rsidRPr="00A47DF0">
              <w:rPr>
                <w:rFonts w:eastAsia="Times New Roman" w:cs="Times New Roman"/>
                <w:sz w:val="18"/>
                <w:szCs w:val="18"/>
              </w:rPr>
              <w:t>TACTCTACCRTTGAGTTAGCAAC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D8F7A08" w14:textId="77777777" w:rsidR="0096553A" w:rsidRPr="00A47DF0" w:rsidRDefault="0096553A" w:rsidP="00554ED8">
            <w:pPr>
              <w:rPr>
                <w:rFonts w:eastAsia="Times New Roman" w:cs="Times New Roman"/>
                <w:sz w:val="18"/>
                <w:szCs w:val="18"/>
              </w:rPr>
            </w:pPr>
            <w:r w:rsidRPr="00A47DF0">
              <w:rPr>
                <w:rFonts w:eastAsia="Times New Roman" w:cs="Times New Roman"/>
                <w:sz w:val="18"/>
                <w:szCs w:val="18"/>
              </w:rPr>
              <w:t>412-803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4498256" w14:textId="77777777" w:rsidR="0096553A" w:rsidRPr="00A47DF0" w:rsidRDefault="0096553A" w:rsidP="00554ED8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A47DF0">
              <w:rPr>
                <w:rFonts w:eastAsia="Times New Roman" w:cs="Times New Roman"/>
                <w:sz w:val="18"/>
                <w:szCs w:val="18"/>
              </w:rPr>
              <w:t>48</w:t>
            </w:r>
          </w:p>
        </w:tc>
      </w:tr>
      <w:tr w:rsidR="0096553A" w:rsidRPr="00A47DF0" w14:paraId="06EA6497" w14:textId="77777777" w:rsidTr="00554ED8">
        <w:trPr>
          <w:trHeight w:val="260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16902DA6" w14:textId="77777777" w:rsidR="0096553A" w:rsidRPr="00A47DF0" w:rsidRDefault="0096553A" w:rsidP="00554ED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3433F16E" w14:textId="77777777" w:rsidR="0096553A" w:rsidRPr="00A47DF0" w:rsidRDefault="0096553A" w:rsidP="00554ED8">
            <w:pPr>
              <w:rPr>
                <w:rFonts w:eastAsia="Times New Roman" w:cs="Times New Roman"/>
                <w:sz w:val="18"/>
                <w:szCs w:val="18"/>
              </w:rPr>
            </w:pPr>
            <w:r w:rsidRPr="00A47DF0">
              <w:rPr>
                <w:rFonts w:eastAsia="Times New Roman" w:cs="Times New Roman"/>
                <w:sz w:val="18"/>
                <w:szCs w:val="18"/>
              </w:rPr>
              <w:t>rps16-4547mod</w:t>
            </w:r>
          </w:p>
          <w:p w14:paraId="47C1D550" w14:textId="77777777" w:rsidR="0096553A" w:rsidRPr="00A47DF0" w:rsidRDefault="0096553A" w:rsidP="00554ED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829" w:type="dxa"/>
            <w:gridSpan w:val="2"/>
            <w:shd w:val="clear" w:color="auto" w:fill="auto"/>
            <w:noWrap/>
            <w:vAlign w:val="bottom"/>
            <w:hideMark/>
          </w:tcPr>
          <w:p w14:paraId="72213B6C" w14:textId="77777777" w:rsidR="0096553A" w:rsidRPr="00A47DF0" w:rsidRDefault="0096553A" w:rsidP="00554ED8">
            <w:pPr>
              <w:rPr>
                <w:rFonts w:eastAsia="Times New Roman" w:cs="Times New Roman"/>
                <w:sz w:val="18"/>
                <w:szCs w:val="18"/>
              </w:rPr>
            </w:pPr>
            <w:r w:rsidRPr="00A47DF0">
              <w:rPr>
                <w:rFonts w:eastAsia="Times New Roman" w:cs="Times New Roman"/>
                <w:sz w:val="18"/>
                <w:szCs w:val="18"/>
              </w:rPr>
              <w:t>AAAGGKGCTCAACCTACARGAAC</w:t>
            </w:r>
          </w:p>
          <w:p w14:paraId="7FF18482" w14:textId="77777777" w:rsidR="0096553A" w:rsidRPr="00A47DF0" w:rsidRDefault="0096553A" w:rsidP="00554ED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F756D2E" w14:textId="77777777" w:rsidR="0096553A" w:rsidRPr="00A47DF0" w:rsidRDefault="0096553A" w:rsidP="00554ED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6553A" w:rsidRPr="00A47DF0" w14:paraId="089FC28B" w14:textId="77777777" w:rsidTr="00554ED8">
        <w:trPr>
          <w:trHeight w:val="260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921B777" w14:textId="77777777" w:rsidR="0096553A" w:rsidRPr="00A47DF0" w:rsidRDefault="0096553A" w:rsidP="00554ED8">
            <w:pPr>
              <w:rPr>
                <w:rFonts w:eastAsia="Times New Roman" w:cs="Times New Roman"/>
                <w:sz w:val="18"/>
                <w:szCs w:val="18"/>
              </w:rPr>
            </w:pPr>
            <w:r w:rsidRPr="00A47DF0">
              <w:rPr>
                <w:rFonts w:eastAsia="Times New Roman" w:cs="Times New Roman"/>
                <w:sz w:val="18"/>
                <w:szCs w:val="18"/>
              </w:rPr>
              <w:t>trnV-atpE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4D883C6D" w14:textId="77777777" w:rsidR="0096553A" w:rsidRPr="00A47DF0" w:rsidRDefault="0096553A" w:rsidP="00554ED8">
            <w:pPr>
              <w:rPr>
                <w:rFonts w:eastAsia="Times New Roman" w:cs="Times New Roman"/>
                <w:sz w:val="18"/>
                <w:szCs w:val="18"/>
              </w:rPr>
            </w:pPr>
            <w:r w:rsidRPr="00A47DF0">
              <w:rPr>
                <w:rFonts w:eastAsia="Times New Roman" w:cs="Times New Roman"/>
                <w:sz w:val="18"/>
                <w:szCs w:val="18"/>
              </w:rPr>
              <w:t>trnV5f</w:t>
            </w:r>
          </w:p>
        </w:tc>
        <w:tc>
          <w:tcPr>
            <w:tcW w:w="2809" w:type="dxa"/>
            <w:shd w:val="clear" w:color="auto" w:fill="auto"/>
            <w:noWrap/>
            <w:vAlign w:val="bottom"/>
            <w:hideMark/>
          </w:tcPr>
          <w:p w14:paraId="7E830686" w14:textId="77777777" w:rsidR="0096553A" w:rsidRPr="00A47DF0" w:rsidRDefault="0096553A" w:rsidP="00554ED8">
            <w:pPr>
              <w:rPr>
                <w:rFonts w:eastAsia="Times New Roman" w:cs="Times New Roman"/>
                <w:sz w:val="18"/>
                <w:szCs w:val="18"/>
              </w:rPr>
            </w:pPr>
            <w:r w:rsidRPr="00A47DF0">
              <w:rPr>
                <w:rFonts w:eastAsia="Times New Roman" w:cs="Times New Roman"/>
                <w:sz w:val="18"/>
                <w:szCs w:val="18"/>
              </w:rPr>
              <w:t>GTGTAAACGAGTTGCTCTACCA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39E3639" w14:textId="77777777" w:rsidR="0096553A" w:rsidRPr="00A47DF0" w:rsidRDefault="0096553A" w:rsidP="00554ED8">
            <w:pPr>
              <w:rPr>
                <w:rFonts w:eastAsia="Times New Roman" w:cs="Times New Roman"/>
                <w:sz w:val="18"/>
                <w:szCs w:val="18"/>
              </w:rPr>
            </w:pPr>
            <w:r w:rsidRPr="00A47DF0">
              <w:rPr>
                <w:rFonts w:eastAsia="Times New Roman" w:cs="Times New Roman"/>
                <w:sz w:val="18"/>
                <w:szCs w:val="18"/>
              </w:rPr>
              <w:t>418-1270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792DFC7" w14:textId="77777777" w:rsidR="0096553A" w:rsidRPr="00A47DF0" w:rsidRDefault="0096553A" w:rsidP="00554ED8">
            <w:pPr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A47DF0">
              <w:rPr>
                <w:rFonts w:eastAsia="Times New Roman" w:cs="Times New Roman"/>
                <w:sz w:val="18"/>
                <w:szCs w:val="18"/>
              </w:rPr>
              <w:t>55</w:t>
            </w:r>
          </w:p>
        </w:tc>
      </w:tr>
      <w:tr w:rsidR="0096553A" w:rsidRPr="00A47DF0" w14:paraId="49F0FC47" w14:textId="77777777" w:rsidTr="00554ED8">
        <w:trPr>
          <w:trHeight w:val="260"/>
        </w:trPr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73F6FB86" w14:textId="77777777" w:rsidR="0096553A" w:rsidRPr="00A47DF0" w:rsidRDefault="0096553A" w:rsidP="00554ED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14:paraId="651C4A40" w14:textId="77777777" w:rsidR="0096553A" w:rsidRPr="00A47DF0" w:rsidRDefault="0096553A" w:rsidP="00554ED8">
            <w:pPr>
              <w:rPr>
                <w:rFonts w:eastAsia="Times New Roman" w:cs="Times New Roman"/>
                <w:sz w:val="18"/>
                <w:szCs w:val="18"/>
              </w:rPr>
            </w:pPr>
            <w:r w:rsidRPr="00A47DF0">
              <w:rPr>
                <w:rFonts w:eastAsia="Times New Roman" w:cs="Times New Roman"/>
                <w:sz w:val="18"/>
                <w:szCs w:val="18"/>
              </w:rPr>
              <w:t>atpE-S1022</w:t>
            </w:r>
          </w:p>
          <w:p w14:paraId="09595BC9" w14:textId="77777777" w:rsidR="0096553A" w:rsidRPr="00A47DF0" w:rsidRDefault="0096553A" w:rsidP="00554ED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829" w:type="dxa"/>
            <w:gridSpan w:val="2"/>
            <w:shd w:val="clear" w:color="auto" w:fill="auto"/>
            <w:noWrap/>
            <w:vAlign w:val="bottom"/>
            <w:hideMark/>
          </w:tcPr>
          <w:p w14:paraId="4422DC07" w14:textId="77777777" w:rsidR="0096553A" w:rsidRPr="00A47DF0" w:rsidRDefault="0096553A" w:rsidP="00554ED8">
            <w:pPr>
              <w:rPr>
                <w:rFonts w:eastAsia="Times New Roman" w:cs="Times New Roman"/>
                <w:sz w:val="18"/>
                <w:szCs w:val="18"/>
              </w:rPr>
            </w:pPr>
            <w:r w:rsidRPr="00A47DF0">
              <w:rPr>
                <w:rFonts w:eastAsia="Times New Roman" w:cs="Times New Roman"/>
                <w:sz w:val="18"/>
                <w:szCs w:val="18"/>
              </w:rPr>
              <w:t>CGACATTTGCACATTTAGATGCTAC</w:t>
            </w:r>
          </w:p>
          <w:p w14:paraId="085FC041" w14:textId="77777777" w:rsidR="0096553A" w:rsidRPr="00A47DF0" w:rsidRDefault="0096553A" w:rsidP="00554ED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C5F2A92" w14:textId="77777777" w:rsidR="0096553A" w:rsidRPr="00A47DF0" w:rsidRDefault="0096553A" w:rsidP="00554ED8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14:paraId="3D0B1672" w14:textId="77777777" w:rsidR="0096553A" w:rsidRDefault="0096553A" w:rsidP="0096553A">
      <w:pPr>
        <w:spacing w:line="480" w:lineRule="auto"/>
        <w:rPr>
          <w:sz w:val="18"/>
          <w:szCs w:val="18"/>
        </w:rPr>
      </w:pPr>
      <w:r w:rsidRPr="00A47DF0">
        <w:rPr>
          <w:sz w:val="18"/>
          <w:szCs w:val="18"/>
        </w:rPr>
        <w:t>*T</w:t>
      </w:r>
      <w:r w:rsidRPr="00A47DF0">
        <w:rPr>
          <w:sz w:val="18"/>
          <w:szCs w:val="18"/>
          <w:vertAlign w:val="subscript"/>
        </w:rPr>
        <w:t>A</w:t>
      </w:r>
      <w:r w:rsidRPr="00A47DF0">
        <w:rPr>
          <w:sz w:val="18"/>
          <w:szCs w:val="18"/>
        </w:rPr>
        <w:t>: Annealing temperature</w:t>
      </w:r>
    </w:p>
    <w:p w14:paraId="6D68E768" w14:textId="77777777" w:rsidR="0096553A" w:rsidRPr="00190CA8" w:rsidRDefault="0096553A" w:rsidP="0096553A">
      <w:pPr>
        <w:spacing w:line="480" w:lineRule="auto"/>
        <w:ind w:firstLine="720"/>
        <w:rPr>
          <w:lang w:val="en-GB"/>
        </w:rPr>
      </w:pPr>
    </w:p>
    <w:p w14:paraId="6C82725F" w14:textId="77777777" w:rsidR="0096553A" w:rsidRDefault="0096553A" w:rsidP="0096553A">
      <w:pPr>
        <w:spacing w:line="480" w:lineRule="auto"/>
        <w:ind w:firstLine="720"/>
        <w:rPr>
          <w:lang w:val="en-GB"/>
        </w:rPr>
      </w:pPr>
      <w:r>
        <w:rPr>
          <w:lang w:val="en-GB"/>
        </w:rPr>
        <w:t>P</w:t>
      </w:r>
      <w:r w:rsidRPr="00190CA8">
        <w:rPr>
          <w:lang w:val="en-GB"/>
        </w:rPr>
        <w:t xml:space="preserve">olymerase chain reaction (PCR) for </w:t>
      </w:r>
      <w:r>
        <w:rPr>
          <w:lang w:val="en-GB"/>
        </w:rPr>
        <w:t xml:space="preserve">chloroplast </w:t>
      </w:r>
      <w:r w:rsidRPr="00190CA8">
        <w:rPr>
          <w:lang w:val="en-GB"/>
        </w:rPr>
        <w:t xml:space="preserve">DNA amplification </w:t>
      </w:r>
      <w:r>
        <w:rPr>
          <w:lang w:val="en-GB"/>
        </w:rPr>
        <w:t>was conducted in</w:t>
      </w:r>
      <w:r w:rsidRPr="00190CA8">
        <w:rPr>
          <w:lang w:val="en-GB"/>
        </w:rPr>
        <w:t xml:space="preserve"> </w:t>
      </w:r>
      <w:r>
        <w:rPr>
          <w:lang w:val="en-GB"/>
        </w:rPr>
        <w:t xml:space="preserve">a </w:t>
      </w:r>
      <w:r w:rsidRPr="00190CA8">
        <w:rPr>
          <w:lang w:val="en-GB"/>
        </w:rPr>
        <w:t xml:space="preserve">50 </w:t>
      </w:r>
      <w:r w:rsidRPr="00190CA8">
        <w:rPr>
          <w:lang w:val="en-GB"/>
        </w:rPr>
        <w:sym w:font="Symbol" w:char="F06D"/>
      </w:r>
      <w:r>
        <w:rPr>
          <w:lang w:val="en-GB"/>
        </w:rPr>
        <w:t>l reaction volume,</w:t>
      </w:r>
      <w:r w:rsidRPr="00190CA8">
        <w:rPr>
          <w:lang w:val="en-GB"/>
        </w:rPr>
        <w:t xml:space="preserve"> including 2 </w:t>
      </w:r>
      <w:r w:rsidRPr="00190CA8">
        <w:rPr>
          <w:lang w:val="en-GB"/>
        </w:rPr>
        <w:sym w:font="Symbol" w:char="F06D"/>
      </w:r>
      <w:r w:rsidRPr="00190CA8">
        <w:rPr>
          <w:lang w:val="en-GB"/>
        </w:rPr>
        <w:t xml:space="preserve">l of template DNA (with an average concentration of 7.04 ng </w:t>
      </w:r>
      <w:r w:rsidRPr="00190CA8">
        <w:rPr>
          <w:lang w:val="en-GB"/>
        </w:rPr>
        <w:sym w:font="Symbol" w:char="F06D"/>
      </w:r>
      <w:r w:rsidRPr="00190CA8">
        <w:rPr>
          <w:lang w:val="en-GB"/>
        </w:rPr>
        <w:t>l</w:t>
      </w:r>
      <w:r w:rsidRPr="00190CA8">
        <w:rPr>
          <w:vertAlign w:val="superscript"/>
          <w:lang w:val="en-GB"/>
        </w:rPr>
        <w:t>-1</w:t>
      </w:r>
      <w:r w:rsidRPr="00190CA8">
        <w:rPr>
          <w:lang w:val="en-GB"/>
        </w:rPr>
        <w:t xml:space="preserve">), 5 </w:t>
      </w:r>
      <w:r w:rsidRPr="00190CA8">
        <w:rPr>
          <w:lang w:val="en-GB"/>
        </w:rPr>
        <w:sym w:font="Symbol" w:char="F06D"/>
      </w:r>
      <w:r w:rsidRPr="00190CA8">
        <w:rPr>
          <w:lang w:val="en-GB"/>
        </w:rPr>
        <w:t xml:space="preserve">l reaction buffer (10X), 1.5 </w:t>
      </w:r>
      <w:r w:rsidRPr="00190CA8">
        <w:rPr>
          <w:lang w:val="en-GB"/>
        </w:rPr>
        <w:sym w:font="Symbol" w:char="F06D"/>
      </w:r>
      <w:r w:rsidRPr="00190CA8">
        <w:rPr>
          <w:lang w:val="en-GB"/>
        </w:rPr>
        <w:t>l MgCl</w:t>
      </w:r>
      <w:r w:rsidRPr="00190CA8">
        <w:rPr>
          <w:vertAlign w:val="subscript"/>
          <w:lang w:val="en-GB"/>
        </w:rPr>
        <w:t>2</w:t>
      </w:r>
      <w:r w:rsidRPr="00190CA8">
        <w:rPr>
          <w:lang w:val="en-GB"/>
        </w:rPr>
        <w:t xml:space="preserve"> (50 mM), 0.8 </w:t>
      </w:r>
      <w:r w:rsidRPr="00190CA8">
        <w:rPr>
          <w:lang w:val="en-GB"/>
        </w:rPr>
        <w:sym w:font="Symbol" w:char="F06D"/>
      </w:r>
      <w:r w:rsidRPr="00190CA8">
        <w:rPr>
          <w:lang w:val="en-GB"/>
        </w:rPr>
        <w:t xml:space="preserve">l of each dNTP (2.5 mM), 1.5 </w:t>
      </w:r>
      <w:r w:rsidRPr="00190CA8">
        <w:rPr>
          <w:lang w:val="en-GB"/>
        </w:rPr>
        <w:sym w:font="Symbol" w:char="F06D"/>
      </w:r>
      <w:r w:rsidRPr="00190CA8">
        <w:rPr>
          <w:lang w:val="en-GB"/>
        </w:rPr>
        <w:t>l of each primer (10</w:t>
      </w:r>
      <w:r w:rsidRPr="00190CA8">
        <w:rPr>
          <w:lang w:val="en-GB"/>
        </w:rPr>
        <w:sym w:font="Symbol" w:char="F06D"/>
      </w:r>
      <w:r w:rsidRPr="00190CA8">
        <w:rPr>
          <w:lang w:val="en-GB"/>
        </w:rPr>
        <w:t xml:space="preserve">M), and 0.5 </w:t>
      </w:r>
      <w:r w:rsidRPr="00190CA8">
        <w:rPr>
          <w:lang w:val="en-GB"/>
        </w:rPr>
        <w:sym w:font="Symbol" w:char="F06D"/>
      </w:r>
      <w:r w:rsidRPr="00190CA8">
        <w:rPr>
          <w:lang w:val="en-GB"/>
        </w:rPr>
        <w:t>l of Taq polymerase (5U/</w:t>
      </w:r>
      <w:r w:rsidRPr="00190CA8">
        <w:rPr>
          <w:lang w:val="en-GB"/>
        </w:rPr>
        <w:sym w:font="Symbol" w:char="F06D"/>
      </w:r>
      <w:r w:rsidRPr="00190CA8">
        <w:rPr>
          <w:lang w:val="en-GB"/>
        </w:rPr>
        <w:t>l; BIOTAQ</w:t>
      </w:r>
      <w:r w:rsidRPr="00190CA8">
        <w:rPr>
          <w:vertAlign w:val="superscript"/>
          <w:lang w:val="en-GB"/>
        </w:rPr>
        <w:t xml:space="preserve">TM </w:t>
      </w:r>
      <w:r w:rsidRPr="00190CA8">
        <w:rPr>
          <w:lang w:val="en-GB"/>
        </w:rPr>
        <w:t>DNA polymerase, BIOLINE).</w:t>
      </w:r>
    </w:p>
    <w:p w14:paraId="636A8E6F" w14:textId="77777777" w:rsidR="0096553A" w:rsidRDefault="0096553A" w:rsidP="0096553A">
      <w:pPr>
        <w:spacing w:line="480" w:lineRule="auto"/>
        <w:rPr>
          <w:u w:val="single"/>
          <w:lang w:val="en-GB"/>
        </w:rPr>
      </w:pPr>
    </w:p>
    <w:p w14:paraId="09E73622" w14:textId="77777777" w:rsidR="0096553A" w:rsidRDefault="0096553A" w:rsidP="0096553A">
      <w:pPr>
        <w:spacing w:line="480" w:lineRule="auto"/>
        <w:rPr>
          <w:u w:val="single"/>
          <w:lang w:val="en-GB"/>
        </w:rPr>
      </w:pPr>
    </w:p>
    <w:p w14:paraId="061468DB" w14:textId="77777777" w:rsidR="0096553A" w:rsidRDefault="0096553A" w:rsidP="0096553A">
      <w:pPr>
        <w:spacing w:line="480" w:lineRule="auto"/>
        <w:rPr>
          <w:u w:val="single"/>
          <w:lang w:val="en-GB"/>
        </w:rPr>
      </w:pPr>
    </w:p>
    <w:p w14:paraId="58075D5E" w14:textId="77777777" w:rsidR="0096553A" w:rsidRPr="00704B58" w:rsidRDefault="0096553A" w:rsidP="0096553A">
      <w:pPr>
        <w:spacing w:line="480" w:lineRule="auto"/>
        <w:rPr>
          <w:u w:val="single"/>
          <w:lang w:val="en-GB"/>
        </w:rPr>
      </w:pPr>
      <w:r w:rsidRPr="000D7C59">
        <w:rPr>
          <w:u w:val="single"/>
          <w:lang w:val="en-GB"/>
        </w:rPr>
        <w:lastRenderedPageBreak/>
        <w:t>Sequencing procedure:</w:t>
      </w:r>
    </w:p>
    <w:p w14:paraId="2D95C7C0" w14:textId="77777777" w:rsidR="0096553A" w:rsidRDefault="0096553A" w:rsidP="0096553A">
      <w:pPr>
        <w:spacing w:line="480" w:lineRule="auto"/>
        <w:ind w:firstLine="720"/>
        <w:rPr>
          <w:lang w:val="en-GB"/>
        </w:rPr>
      </w:pPr>
      <w:r>
        <w:rPr>
          <w:lang w:val="en-GB"/>
        </w:rPr>
        <w:t xml:space="preserve">Amplified products were </w:t>
      </w:r>
      <w:r w:rsidRPr="00190CA8">
        <w:rPr>
          <w:lang w:val="en-GB"/>
        </w:rPr>
        <w:t>purified with Exonuclease I (Thermo Scientific)</w:t>
      </w:r>
      <w:r>
        <w:rPr>
          <w:lang w:val="en-GB"/>
        </w:rPr>
        <w:t xml:space="preserve"> and directly sequenced following a standard Sanger sequencing protocol.</w:t>
      </w:r>
      <w:r w:rsidRPr="00190CA8">
        <w:rPr>
          <w:lang w:val="en-GB"/>
        </w:rPr>
        <w:t xml:space="preserve"> In a 10 </w:t>
      </w:r>
      <w:r w:rsidRPr="00190CA8">
        <w:rPr>
          <w:lang w:val="en-GB"/>
        </w:rPr>
        <w:sym w:font="Symbol" w:char="F06D"/>
      </w:r>
      <w:r w:rsidRPr="00190CA8">
        <w:rPr>
          <w:lang w:val="en-GB"/>
        </w:rPr>
        <w:t xml:space="preserve">l sequencing reaction volume, 3 </w:t>
      </w:r>
      <w:r w:rsidRPr="00190CA8">
        <w:rPr>
          <w:lang w:val="en-GB"/>
        </w:rPr>
        <w:sym w:font="Symbol" w:char="F06D"/>
      </w:r>
      <w:r w:rsidRPr="00190CA8">
        <w:rPr>
          <w:lang w:val="en-GB"/>
        </w:rPr>
        <w:t xml:space="preserve">l of purified PCR product was used, along with 1.6 </w:t>
      </w:r>
      <w:r w:rsidRPr="00190CA8">
        <w:rPr>
          <w:lang w:val="en-GB"/>
        </w:rPr>
        <w:sym w:font="Symbol" w:char="F06D"/>
      </w:r>
      <w:r w:rsidRPr="00190CA8">
        <w:rPr>
          <w:lang w:val="en-GB"/>
        </w:rPr>
        <w:t xml:space="preserve">l sequencing buffer (5X), 1.6 </w:t>
      </w:r>
      <w:r w:rsidRPr="00190CA8">
        <w:rPr>
          <w:lang w:val="en-GB"/>
        </w:rPr>
        <w:sym w:font="Symbol" w:char="F06D"/>
      </w:r>
      <w:r w:rsidRPr="00190CA8">
        <w:rPr>
          <w:lang w:val="en-GB"/>
        </w:rPr>
        <w:t xml:space="preserve">l sequencing primer (1 </w:t>
      </w:r>
      <w:r w:rsidRPr="00190CA8">
        <w:rPr>
          <w:lang w:val="en-GB"/>
        </w:rPr>
        <w:sym w:font="Symbol" w:char="F06D"/>
      </w:r>
      <w:r w:rsidRPr="00190CA8">
        <w:rPr>
          <w:lang w:val="en-GB"/>
        </w:rPr>
        <w:t xml:space="preserve">M), and 0.8 </w:t>
      </w:r>
      <w:r w:rsidRPr="00190CA8">
        <w:rPr>
          <w:lang w:val="en-GB"/>
        </w:rPr>
        <w:sym w:font="Symbol" w:char="F06D"/>
      </w:r>
      <w:r w:rsidRPr="00190CA8">
        <w:rPr>
          <w:lang w:val="en-GB"/>
        </w:rPr>
        <w:t>l Big Dye v3.1 (Applied Biosystems, ABI). Cycle sequencing included an initial denaturation period (3 min at 94</w:t>
      </w:r>
      <w:r w:rsidRPr="00190CA8">
        <w:rPr>
          <w:lang w:val="en-GB"/>
        </w:rPr>
        <w:sym w:font="Symbol" w:char="F0B0"/>
      </w:r>
      <w:r w:rsidRPr="00190CA8">
        <w:rPr>
          <w:lang w:val="en-GB"/>
        </w:rPr>
        <w:t>C), followed by 30 cycles of denaturation (30 seconds at 94</w:t>
      </w:r>
      <w:r w:rsidRPr="00190CA8">
        <w:rPr>
          <w:lang w:val="en-GB"/>
        </w:rPr>
        <w:sym w:font="Symbol" w:char="F0B0"/>
      </w:r>
      <w:r w:rsidRPr="00190CA8">
        <w:rPr>
          <w:lang w:val="en-GB"/>
        </w:rPr>
        <w:t>C), annealing (30 seconds at a primer specific annealing temperature, refer to Table X), and extension (30 seconds at 72</w:t>
      </w:r>
      <w:r w:rsidRPr="00190CA8">
        <w:rPr>
          <w:lang w:val="en-GB"/>
        </w:rPr>
        <w:sym w:font="Symbol" w:char="F0B0"/>
      </w:r>
      <w:r w:rsidRPr="00190CA8">
        <w:rPr>
          <w:lang w:val="en-GB"/>
        </w:rPr>
        <w:t>C), and a final extension period (7 min at 72</w:t>
      </w:r>
      <w:r w:rsidRPr="00190CA8">
        <w:rPr>
          <w:lang w:val="en-GB"/>
        </w:rPr>
        <w:sym w:font="Symbol" w:char="F0B0"/>
      </w:r>
      <w:r w:rsidRPr="00190CA8">
        <w:rPr>
          <w:lang w:val="en-GB"/>
        </w:rPr>
        <w:t xml:space="preserve">C). </w:t>
      </w:r>
    </w:p>
    <w:p w14:paraId="661CDA1A" w14:textId="77777777" w:rsidR="0096553A" w:rsidRPr="002E4A92" w:rsidRDefault="0096553A" w:rsidP="0096553A">
      <w:pPr>
        <w:spacing w:line="480" w:lineRule="auto"/>
      </w:pPr>
      <w:r>
        <w:rPr>
          <w:lang w:val="en-GB"/>
        </w:rPr>
        <w:tab/>
      </w:r>
      <w:r w:rsidRPr="00190CA8">
        <w:rPr>
          <w:lang w:val="en-GB"/>
        </w:rPr>
        <w:t>The cycle sequencing products were further purified using Sephadex filtration and analysed on a 3130xl DNA analyzer (Applied Biosystems, ABI).</w:t>
      </w:r>
      <w:r w:rsidRPr="001739B5">
        <w:rPr>
          <w:lang w:val="en-GB"/>
        </w:rPr>
        <w:t xml:space="preserve"> Sequences </w:t>
      </w:r>
      <w:r>
        <w:rPr>
          <w:lang w:val="en-GB"/>
        </w:rPr>
        <w:t>were</w:t>
      </w:r>
      <w:r w:rsidRPr="000F2D47">
        <w:rPr>
          <w:lang w:val="en-GB"/>
        </w:rPr>
        <w:t xml:space="preserve"> assembled using Sequencher 5.1 (Gene Codes) and aligned using the MUSCLE algorithm in Geneious Pro 5.6.6 (Biomatters). Alignme</w:t>
      </w:r>
      <w:r>
        <w:rPr>
          <w:lang w:val="en-GB"/>
        </w:rPr>
        <w:t>nts were then adjusted manually</w:t>
      </w:r>
      <w:r>
        <w:t xml:space="preserve">.  </w:t>
      </w:r>
    </w:p>
    <w:p w14:paraId="7BE810FA" w14:textId="77777777" w:rsidR="0096553A" w:rsidRDefault="0096553A" w:rsidP="0096553A">
      <w:pPr>
        <w:spacing w:line="480" w:lineRule="auto"/>
        <w:ind w:firstLine="720"/>
        <w:rPr>
          <w:lang w:val="en-GB"/>
        </w:rPr>
      </w:pPr>
      <w:r>
        <w:t>The 4-region alignment had no missing polymorphic data, but a mono-A-string presented alignment difficulties.  Such repeat regions have a high mutation rate and potential for homoplasy, so the mono-A-string was removed from the alignment (</w:t>
      </w:r>
      <w:r w:rsidRPr="007B4C9A">
        <w:t xml:space="preserve">Kelchner 2000; </w:t>
      </w:r>
      <w:r>
        <w:t>Schlaepfer et al. 2008).</w:t>
      </w:r>
      <w:r w:rsidRPr="007B4C9A">
        <w:t xml:space="preserve"> </w:t>
      </w:r>
      <w:r w:rsidRPr="00C217B6">
        <w:rPr>
          <w:lang w:val="en-GB"/>
        </w:rPr>
        <w:t>Simple Indel Coding (SIC) was applied to gaps using the program FastGap 1.2 (</w:t>
      </w:r>
      <w:r w:rsidRPr="00C217B6">
        <w:t xml:space="preserve">Borchsenius 2009) and </w:t>
      </w:r>
      <w:r w:rsidRPr="00C217B6">
        <w:rPr>
          <w:lang w:val="en-GB"/>
        </w:rPr>
        <w:t>following the method of Simmons and Ochoterena (2000).</w:t>
      </w:r>
    </w:p>
    <w:p w14:paraId="10E0387D" w14:textId="77777777" w:rsidR="0096553A" w:rsidRPr="00856BAD" w:rsidRDefault="0096553A" w:rsidP="0096553A">
      <w:pPr>
        <w:spacing w:line="480" w:lineRule="auto"/>
        <w:ind w:firstLine="720"/>
        <w:rPr>
          <w:lang w:val="en-GB"/>
        </w:rPr>
      </w:pPr>
    </w:p>
    <w:p w14:paraId="04E3DC05" w14:textId="77777777" w:rsidR="0096553A" w:rsidRPr="00794097" w:rsidRDefault="0096553A" w:rsidP="0096553A">
      <w:pPr>
        <w:spacing w:line="480" w:lineRule="auto"/>
        <w:rPr>
          <w:u w:val="single"/>
          <w:lang w:val="en-GB"/>
        </w:rPr>
      </w:pPr>
      <w:r>
        <w:rPr>
          <w:u w:val="single"/>
          <w:lang w:val="en-GB"/>
        </w:rPr>
        <w:t>Haplotype networks</w:t>
      </w:r>
      <w:r w:rsidRPr="00794097">
        <w:rPr>
          <w:u w:val="single"/>
          <w:lang w:val="en-GB"/>
        </w:rPr>
        <w:t>:</w:t>
      </w:r>
    </w:p>
    <w:p w14:paraId="347C5FAB" w14:textId="77777777" w:rsidR="0096553A" w:rsidRDefault="0096553A" w:rsidP="0096553A">
      <w:pPr>
        <w:spacing w:line="480" w:lineRule="auto"/>
        <w:ind w:firstLine="720"/>
      </w:pPr>
      <w:r>
        <w:rPr>
          <w:lang w:val="en-GB"/>
        </w:rPr>
        <w:t>Implementing three nucleotide substitution schemes in</w:t>
      </w:r>
      <w:r w:rsidRPr="00E675C5">
        <w:rPr>
          <w:lang w:val="en-GB"/>
        </w:rPr>
        <w:t xml:space="preserve"> jModelTest 2.1.3 </w:t>
      </w:r>
      <w:r w:rsidRPr="00E675C5">
        <w:t>(</w:t>
      </w:r>
      <w:r>
        <w:rPr>
          <w:bCs/>
        </w:rPr>
        <w:t>Guidon &amp; Gascuel 2003; Darriba et al. 2012</w:t>
      </w:r>
      <w:r w:rsidRPr="00E675C5">
        <w:t>)</w:t>
      </w:r>
      <w:r>
        <w:t>, the best fitting model of nucleotide evolution</w:t>
      </w:r>
      <w:r>
        <w:rPr>
          <w:lang w:val="en-GB"/>
        </w:rPr>
        <w:t xml:space="preserve"> was F81 for all regions based on the Bayesian Information Criterion (BIC). Thus, all chloroplast regions could be combined for further analyses</w:t>
      </w:r>
      <w:r>
        <w:t>.  We used TCS 1.21 (Clement et al. 2000), a program using statistical parsimony to calculate a distance matrix for all pairwise comparisons of haplotypes, to estimate gene genealogies.</w:t>
      </w:r>
    </w:p>
    <w:p w14:paraId="226EF146" w14:textId="77777777" w:rsidR="0096553A" w:rsidRDefault="0096553A" w:rsidP="0096553A">
      <w:pPr>
        <w:spacing w:line="480" w:lineRule="auto"/>
      </w:pPr>
    </w:p>
    <w:p w14:paraId="152ACF38" w14:textId="77777777" w:rsidR="0096553A" w:rsidRPr="0026287F" w:rsidRDefault="0096553A" w:rsidP="0096553A">
      <w:pPr>
        <w:spacing w:line="480" w:lineRule="auto"/>
        <w:rPr>
          <w:u w:val="single"/>
        </w:rPr>
      </w:pPr>
      <w:r w:rsidRPr="0026287F">
        <w:rPr>
          <w:u w:val="single"/>
        </w:rPr>
        <w:t>GenBank Sequences:</w:t>
      </w:r>
    </w:p>
    <w:p w14:paraId="265C4115" w14:textId="77777777" w:rsidR="0096553A" w:rsidRDefault="0096553A" w:rsidP="0096553A">
      <w:pPr>
        <w:spacing w:line="480" w:lineRule="auto"/>
      </w:pPr>
      <w:r w:rsidRPr="0026287F">
        <w:rPr>
          <w:b/>
        </w:rPr>
        <w:t>trnV-atpE:</w:t>
      </w:r>
      <w:r>
        <w:t xml:space="preserve"> BankIt1918451, KX242743 to KX242966</w:t>
      </w:r>
    </w:p>
    <w:p w14:paraId="3C397CC6" w14:textId="77777777" w:rsidR="0096553A" w:rsidRDefault="0096553A" w:rsidP="0096553A">
      <w:pPr>
        <w:spacing w:line="480" w:lineRule="auto"/>
      </w:pPr>
      <w:r>
        <w:rPr>
          <w:b/>
        </w:rPr>
        <w:t>trnK-rps16</w:t>
      </w:r>
      <w:r w:rsidRPr="0026287F">
        <w:rPr>
          <w:b/>
        </w:rPr>
        <w:t>:</w:t>
      </w:r>
      <w:r>
        <w:t xml:space="preserve"> BankIt1919233, KX242967 to KX243190</w:t>
      </w:r>
    </w:p>
    <w:p w14:paraId="04748FF9" w14:textId="77777777" w:rsidR="0096553A" w:rsidRDefault="0096553A" w:rsidP="0096553A">
      <w:pPr>
        <w:spacing w:line="480" w:lineRule="auto"/>
      </w:pPr>
      <w:r>
        <w:rPr>
          <w:b/>
        </w:rPr>
        <w:t>rpl36-rps8</w:t>
      </w:r>
      <w:r w:rsidRPr="0026287F">
        <w:rPr>
          <w:b/>
        </w:rPr>
        <w:t>:</w:t>
      </w:r>
      <w:r>
        <w:t xml:space="preserve"> BankIt1916902, KX227145 to KX227368</w:t>
      </w:r>
    </w:p>
    <w:p w14:paraId="06C40759" w14:textId="77777777" w:rsidR="0096553A" w:rsidRDefault="0096553A" w:rsidP="0096553A">
      <w:pPr>
        <w:spacing w:line="480" w:lineRule="auto"/>
      </w:pPr>
      <w:r>
        <w:rPr>
          <w:b/>
        </w:rPr>
        <w:t>trnH-psbA</w:t>
      </w:r>
      <w:r w:rsidRPr="0026287F">
        <w:rPr>
          <w:b/>
        </w:rPr>
        <w:t>:</w:t>
      </w:r>
      <w:r>
        <w:t xml:space="preserve"> BankIt1916775, KX214780 to KX215003</w:t>
      </w:r>
    </w:p>
    <w:p w14:paraId="295A842D" w14:textId="77777777" w:rsidR="0096553A" w:rsidRDefault="0096553A" w:rsidP="0096553A">
      <w:pPr>
        <w:spacing w:line="480" w:lineRule="auto"/>
      </w:pPr>
    </w:p>
    <w:p w14:paraId="108D7796" w14:textId="3D3045AE" w:rsidR="0096553A" w:rsidRDefault="00E7547E" w:rsidP="0096553A">
      <w:pPr>
        <w:spacing w:line="480" w:lineRule="auto"/>
        <w:rPr>
          <w:b/>
          <w:u w:val="single"/>
        </w:rPr>
      </w:pPr>
      <w:r>
        <w:rPr>
          <w:b/>
          <w:u w:val="single"/>
        </w:rPr>
        <w:t>R</w:t>
      </w:r>
      <w:bookmarkStart w:id="0" w:name="_GoBack"/>
      <w:bookmarkEnd w:id="0"/>
      <w:r w:rsidR="0096553A">
        <w:rPr>
          <w:b/>
          <w:u w:val="single"/>
        </w:rPr>
        <w:t>eferences</w:t>
      </w:r>
      <w:r w:rsidR="0096553A" w:rsidRPr="00CF00C4">
        <w:rPr>
          <w:b/>
          <w:u w:val="single"/>
        </w:rPr>
        <w:t>:</w:t>
      </w:r>
    </w:p>
    <w:p w14:paraId="1E3162AD" w14:textId="77777777" w:rsidR="0096553A" w:rsidRPr="00311A9D" w:rsidRDefault="0096553A" w:rsidP="0096553A">
      <w:pPr>
        <w:spacing w:line="480" w:lineRule="auto"/>
      </w:pPr>
      <w:r w:rsidRPr="00CF00C4" w:rsidDel="006D499D">
        <w:rPr>
          <w:b/>
          <w:u w:val="single"/>
        </w:rPr>
        <w:t xml:space="preserve"> </w:t>
      </w:r>
      <w:r w:rsidRPr="00311A9D">
        <w:t xml:space="preserve">Borchsenius F. 2009.  FastGap 1.2. Department of Biosciences, Aarhus University, Denmark. Published online at </w:t>
      </w:r>
      <w:hyperlink r:id="rId8" w:history="1">
        <w:r w:rsidRPr="00311A9D">
          <w:rPr>
            <w:rStyle w:val="Hyperlink"/>
          </w:rPr>
          <w:t>http://www.aubot.dk/FastGap_home.htm</w:t>
        </w:r>
      </w:hyperlink>
    </w:p>
    <w:p w14:paraId="67A34EA0" w14:textId="77777777" w:rsidR="0096553A" w:rsidRPr="00311A9D" w:rsidRDefault="0096553A" w:rsidP="0096553A">
      <w:pPr>
        <w:spacing w:line="480" w:lineRule="auto"/>
      </w:pPr>
      <w:r w:rsidRPr="00311A9D">
        <w:t>Clement M, Posada D and Crandall K. 2000. TCS: a computer program to estimate gene genealogies. Molecular Ecology 9(10): 1657-1660.</w:t>
      </w:r>
    </w:p>
    <w:p w14:paraId="7F0C50C6" w14:textId="77777777" w:rsidR="0096553A" w:rsidRPr="00311A9D" w:rsidRDefault="0096553A" w:rsidP="0096553A">
      <w:pPr>
        <w:spacing w:line="480" w:lineRule="auto"/>
      </w:pPr>
      <w:r w:rsidRPr="00311A9D">
        <w:t xml:space="preserve">Darriba D, Taboada GL, Doallo R, Posada D. 2012. jModelTest 2: more models, new heuristics and parallel computing. </w:t>
      </w:r>
      <w:hyperlink r:id="rId9" w:history="1">
        <w:r w:rsidRPr="00311A9D">
          <w:rPr>
            <w:rStyle w:val="Hyperlink"/>
          </w:rPr>
          <w:t>Nature Methods 9(8), 772.</w:t>
        </w:r>
      </w:hyperlink>
    </w:p>
    <w:p w14:paraId="1683B76A" w14:textId="77777777" w:rsidR="0096553A" w:rsidRPr="00311A9D" w:rsidRDefault="0096553A" w:rsidP="0096553A">
      <w:pPr>
        <w:spacing w:line="480" w:lineRule="auto"/>
      </w:pPr>
      <w:r w:rsidRPr="00311A9D">
        <w:t>Huelsenbeck, J. P. and F. Ronquist. 2001. MRBAYES: Bayesian inference of phylogeny. Bioinformatics 17:754-755.</w:t>
      </w:r>
    </w:p>
    <w:p w14:paraId="56201E2B" w14:textId="77777777" w:rsidR="0096553A" w:rsidRPr="00311A9D" w:rsidRDefault="0096553A" w:rsidP="0096553A">
      <w:pPr>
        <w:spacing w:line="480" w:lineRule="auto"/>
      </w:pPr>
      <w:r w:rsidRPr="00311A9D">
        <w:t xml:space="preserve">Geneious version 5.6.6 created by Biomatters. Available from </w:t>
      </w:r>
      <w:hyperlink r:id="rId10" w:history="1">
        <w:r w:rsidRPr="00311A9D">
          <w:rPr>
            <w:rStyle w:val="Hyperlink"/>
          </w:rPr>
          <w:t xml:space="preserve"> http://www.geneious.com/ </w:t>
        </w:r>
      </w:hyperlink>
    </w:p>
    <w:p w14:paraId="29324E76" w14:textId="77777777" w:rsidR="0096553A" w:rsidRPr="00311A9D" w:rsidRDefault="0096553A" w:rsidP="0096553A">
      <w:pPr>
        <w:spacing w:line="480" w:lineRule="auto"/>
      </w:pPr>
      <w:r w:rsidRPr="00311A9D">
        <w:t>Guindon S and Gascuel O. 2003. A simple, fast and accurate method to estimate large phylogenies by maximum-likelihood. Systematic Biology  52: 696-704.</w:t>
      </w:r>
    </w:p>
    <w:p w14:paraId="09F8BB7E" w14:textId="77777777" w:rsidR="0096553A" w:rsidRPr="00311A9D" w:rsidRDefault="0096553A" w:rsidP="0096553A">
      <w:pPr>
        <w:spacing w:line="480" w:lineRule="auto"/>
      </w:pPr>
      <w:r w:rsidRPr="00311A9D">
        <w:t xml:space="preserve">Kelchner SA. 2000. The evolution of non-coding chloroplast DNA and its application in plant systematics. </w:t>
      </w:r>
      <w:r w:rsidRPr="00311A9D">
        <w:rPr>
          <w:iCs/>
        </w:rPr>
        <w:t>Annals of the Missouri Botanical Garden</w:t>
      </w:r>
      <w:r w:rsidRPr="00311A9D">
        <w:t xml:space="preserve">, </w:t>
      </w:r>
      <w:r w:rsidRPr="00311A9D">
        <w:rPr>
          <w:bCs/>
        </w:rPr>
        <w:t>87</w:t>
      </w:r>
      <w:r w:rsidRPr="00311A9D">
        <w:t>, 482–498.</w:t>
      </w:r>
    </w:p>
    <w:p w14:paraId="263D9436" w14:textId="77777777" w:rsidR="0096553A" w:rsidRPr="00311A9D" w:rsidRDefault="0096553A" w:rsidP="0096553A">
      <w:pPr>
        <w:spacing w:line="480" w:lineRule="auto"/>
      </w:pPr>
      <w:r w:rsidRPr="00311A9D">
        <w:t xml:space="preserve">Kress WJ, Wurdack KJ, Zimmer EA, Weigt LA, Janzen DH. 2005. Use of DNA barcodes to identify flowering plants. </w:t>
      </w:r>
      <w:r w:rsidRPr="00311A9D">
        <w:rPr>
          <w:i/>
          <w:iCs/>
        </w:rPr>
        <w:t>Proceedings of the National Academy of Sciences, USA</w:t>
      </w:r>
      <w:r w:rsidRPr="00311A9D">
        <w:t xml:space="preserve">, </w:t>
      </w:r>
      <w:r w:rsidRPr="00311A9D">
        <w:rPr>
          <w:bCs/>
        </w:rPr>
        <w:t>102</w:t>
      </w:r>
      <w:r w:rsidRPr="00311A9D">
        <w:t>, 8369–8374.</w:t>
      </w:r>
    </w:p>
    <w:p w14:paraId="236BA161" w14:textId="77777777" w:rsidR="0096553A" w:rsidRPr="00311A9D" w:rsidRDefault="0096553A" w:rsidP="0096553A">
      <w:pPr>
        <w:spacing w:line="480" w:lineRule="auto"/>
      </w:pPr>
      <w:r w:rsidRPr="00311A9D">
        <w:t xml:space="preserve">Sequencher® version 5.1 sequence analysis software, Gene Codes Corporation, Ann Arbor, MI USA. Available from </w:t>
      </w:r>
      <w:hyperlink r:id="rId11" w:history="1">
        <w:r w:rsidRPr="00311A9D">
          <w:rPr>
            <w:rStyle w:val="Hyperlink"/>
          </w:rPr>
          <w:t>http://www.genecodes.com</w:t>
        </w:r>
      </w:hyperlink>
    </w:p>
    <w:p w14:paraId="731ABDD5" w14:textId="77777777" w:rsidR="0096553A" w:rsidRPr="00311A9D" w:rsidRDefault="0096553A" w:rsidP="0096553A">
      <w:pPr>
        <w:spacing w:line="480" w:lineRule="auto"/>
        <w:rPr>
          <w:bCs/>
        </w:rPr>
      </w:pPr>
      <w:r w:rsidRPr="00311A9D">
        <w:rPr>
          <w:lang w:val="en-GB"/>
        </w:rPr>
        <w:t>Simmons MP and Ochoterena H. 2000.</w:t>
      </w:r>
      <w:r w:rsidRPr="00311A9D">
        <w:t xml:space="preserve"> </w:t>
      </w:r>
      <w:r w:rsidRPr="00311A9D">
        <w:rPr>
          <w:bCs/>
        </w:rPr>
        <w:t>Gaps as characters in sequence-based phylogenetic analyses. Syst Biol. 49 (2): 369-81.</w:t>
      </w:r>
    </w:p>
    <w:p w14:paraId="63F18C0A" w14:textId="77777777" w:rsidR="00422357" w:rsidRPr="005D7FA7" w:rsidRDefault="00422357">
      <w:pPr>
        <w:rPr>
          <w:b/>
        </w:rPr>
      </w:pPr>
    </w:p>
    <w:sectPr w:rsidR="00422357" w:rsidRPr="005D7FA7" w:rsidSect="00FC6E48"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533015" w14:textId="77777777" w:rsidR="00AC5616" w:rsidRDefault="00780CDD">
      <w:r>
        <w:separator/>
      </w:r>
    </w:p>
  </w:endnote>
  <w:endnote w:type="continuationSeparator" w:id="0">
    <w:p w14:paraId="19F5E34E" w14:textId="77777777" w:rsidR="00AC5616" w:rsidRDefault="00780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6EF32" w14:textId="77777777" w:rsidR="00AB2CBD" w:rsidRDefault="005D7FA7" w:rsidP="002405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133D48" w14:textId="77777777" w:rsidR="00AB2CBD" w:rsidRDefault="00E7547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CFB21" w14:textId="77777777" w:rsidR="00AB2CBD" w:rsidRDefault="005D7FA7" w:rsidP="002405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547E">
      <w:rPr>
        <w:rStyle w:val="PageNumber"/>
        <w:noProof/>
      </w:rPr>
      <w:t>1</w:t>
    </w:r>
    <w:r>
      <w:rPr>
        <w:rStyle w:val="PageNumber"/>
      </w:rPr>
      <w:fldChar w:fldCharType="end"/>
    </w:r>
  </w:p>
  <w:p w14:paraId="1DBB0BD7" w14:textId="77777777" w:rsidR="00AB2CBD" w:rsidRDefault="00E7547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300ED5" w14:textId="77777777" w:rsidR="00AC5616" w:rsidRDefault="00780CDD">
      <w:r>
        <w:separator/>
      </w:r>
    </w:p>
  </w:footnote>
  <w:footnote w:type="continuationSeparator" w:id="0">
    <w:p w14:paraId="75D131CF" w14:textId="77777777" w:rsidR="00AC5616" w:rsidRDefault="00780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85C86"/>
    <w:multiLevelType w:val="hybridMultilevel"/>
    <w:tmpl w:val="140C59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93C8F"/>
    <w:multiLevelType w:val="hybridMultilevel"/>
    <w:tmpl w:val="87C62830"/>
    <w:lvl w:ilvl="0" w:tplc="8BCA5EC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6E50EF"/>
    <w:multiLevelType w:val="hybridMultilevel"/>
    <w:tmpl w:val="89CCC70C"/>
    <w:lvl w:ilvl="0" w:tplc="5AE0992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53A"/>
    <w:rsid w:val="00422357"/>
    <w:rsid w:val="005D7FA7"/>
    <w:rsid w:val="00780CDD"/>
    <w:rsid w:val="0096553A"/>
    <w:rsid w:val="00AC5616"/>
    <w:rsid w:val="00E7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055A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53A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96553A"/>
    <w:pPr>
      <w:tabs>
        <w:tab w:val="left" w:pos="500"/>
      </w:tabs>
      <w:spacing w:after="240"/>
      <w:ind w:left="504" w:hanging="504"/>
    </w:pPr>
  </w:style>
  <w:style w:type="character" w:styleId="CommentReference">
    <w:name w:val="annotation reference"/>
    <w:basedOn w:val="DefaultParagraphFont"/>
    <w:uiPriority w:val="99"/>
    <w:semiHidden/>
    <w:unhideWhenUsed/>
    <w:rsid w:val="0096553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553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553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53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5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5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53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655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96553A"/>
    <w:pPr>
      <w:spacing w:after="200"/>
    </w:pPr>
    <w:rPr>
      <w:b/>
      <w:bCs/>
      <w:color w:val="4F81BD" w:themeColor="accent1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96553A"/>
  </w:style>
  <w:style w:type="paragraph" w:styleId="Footer">
    <w:name w:val="footer"/>
    <w:basedOn w:val="Normal"/>
    <w:link w:val="FooterChar"/>
    <w:uiPriority w:val="99"/>
    <w:unhideWhenUsed/>
    <w:rsid w:val="009655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53A"/>
  </w:style>
  <w:style w:type="character" w:styleId="PageNumber">
    <w:name w:val="page number"/>
    <w:basedOn w:val="DefaultParagraphFont"/>
    <w:uiPriority w:val="99"/>
    <w:semiHidden/>
    <w:unhideWhenUsed/>
    <w:rsid w:val="0096553A"/>
  </w:style>
  <w:style w:type="character" w:styleId="Hyperlink">
    <w:name w:val="Hyperlink"/>
    <w:basedOn w:val="DefaultParagraphFont"/>
    <w:uiPriority w:val="99"/>
    <w:unhideWhenUsed/>
    <w:rsid w:val="0096553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6553A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553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6553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6553A"/>
  </w:style>
  <w:style w:type="paragraph" w:customStyle="1" w:styleId="BodyA">
    <w:name w:val="Body A"/>
    <w:rsid w:val="0096553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character" w:customStyle="1" w:styleId="Hyperlink0">
    <w:name w:val="Hyperlink.0"/>
    <w:basedOn w:val="DefaultParagraphFont"/>
    <w:rsid w:val="0096553A"/>
    <w:rPr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53A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96553A"/>
    <w:pPr>
      <w:tabs>
        <w:tab w:val="left" w:pos="500"/>
      </w:tabs>
      <w:spacing w:after="240"/>
      <w:ind w:left="504" w:hanging="504"/>
    </w:pPr>
  </w:style>
  <w:style w:type="character" w:styleId="CommentReference">
    <w:name w:val="annotation reference"/>
    <w:basedOn w:val="DefaultParagraphFont"/>
    <w:uiPriority w:val="99"/>
    <w:semiHidden/>
    <w:unhideWhenUsed/>
    <w:rsid w:val="0096553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553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553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53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5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5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53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655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96553A"/>
    <w:pPr>
      <w:spacing w:after="200"/>
    </w:pPr>
    <w:rPr>
      <w:b/>
      <w:bCs/>
      <w:color w:val="4F81BD" w:themeColor="accent1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96553A"/>
  </w:style>
  <w:style w:type="paragraph" w:styleId="Footer">
    <w:name w:val="footer"/>
    <w:basedOn w:val="Normal"/>
    <w:link w:val="FooterChar"/>
    <w:uiPriority w:val="99"/>
    <w:unhideWhenUsed/>
    <w:rsid w:val="009655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53A"/>
  </w:style>
  <w:style w:type="character" w:styleId="PageNumber">
    <w:name w:val="page number"/>
    <w:basedOn w:val="DefaultParagraphFont"/>
    <w:uiPriority w:val="99"/>
    <w:semiHidden/>
    <w:unhideWhenUsed/>
    <w:rsid w:val="0096553A"/>
  </w:style>
  <w:style w:type="character" w:styleId="Hyperlink">
    <w:name w:val="Hyperlink"/>
    <w:basedOn w:val="DefaultParagraphFont"/>
    <w:uiPriority w:val="99"/>
    <w:unhideWhenUsed/>
    <w:rsid w:val="0096553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6553A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553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6553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6553A"/>
  </w:style>
  <w:style w:type="paragraph" w:customStyle="1" w:styleId="BodyA">
    <w:name w:val="Body A"/>
    <w:rsid w:val="0096553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character" w:customStyle="1" w:styleId="Hyperlink0">
    <w:name w:val="Hyperlink.0"/>
    <w:basedOn w:val="DefaultParagraphFont"/>
    <w:rsid w:val="0096553A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genecodes.com/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ubot.dk/FastGap_home.htm" TargetMode="External"/><Relationship Id="rId9" Type="http://schemas.openxmlformats.org/officeDocument/2006/relationships/hyperlink" Target="http://www.nature.com/nmeth/journal/v9/n8/full/nmeth.2109.html" TargetMode="External"/><Relationship Id="rId10" Type="http://schemas.openxmlformats.org/officeDocument/2006/relationships/hyperlink" Target="http://www.geneiou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754</Words>
  <Characters>4303</Characters>
  <Application>Microsoft Macintosh Word</Application>
  <DocSecurity>0</DocSecurity>
  <Lines>35</Lines>
  <Paragraphs>10</Paragraphs>
  <ScaleCrop>false</ScaleCrop>
  <Company/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Moran</dc:creator>
  <cp:keywords/>
  <dc:description/>
  <cp:lastModifiedBy>Emily Moran</cp:lastModifiedBy>
  <cp:revision>4</cp:revision>
  <dcterms:created xsi:type="dcterms:W3CDTF">2016-12-12T16:30:00Z</dcterms:created>
  <dcterms:modified xsi:type="dcterms:W3CDTF">2017-09-20T16:51:00Z</dcterms:modified>
</cp:coreProperties>
</file>