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F3C" w:rsidRDefault="00934F3C" w:rsidP="00D84A99">
      <w:r>
        <w:t>S1</w:t>
      </w:r>
      <w:r w:rsidR="00F561C0">
        <w:t xml:space="preserve"> File</w:t>
      </w:r>
      <w:bookmarkStart w:id="0" w:name="_GoBack"/>
      <w:bookmarkEnd w:id="0"/>
      <w:r>
        <w:t>.  Estimated Limit of Detection Analysis.</w:t>
      </w:r>
    </w:p>
    <w:p w:rsidR="00934F3C" w:rsidRDefault="00934F3C" w:rsidP="00D84A99"/>
    <w:p w:rsidR="00D84A99" w:rsidRDefault="00934F3C" w:rsidP="00D84A99">
      <w:r>
        <w:t>At each master mix/primer s</w:t>
      </w:r>
      <w:r w:rsidR="00D84A99">
        <w:t xml:space="preserve">et combination, the recorded RNA concentrations </w:t>
      </w:r>
      <w:r w:rsidR="00D56742">
        <w:t xml:space="preserve">in this experiment </w:t>
      </w:r>
      <w:r w:rsidR="00D84A99">
        <w:t xml:space="preserve">represent a limit of detection for the individual well measurements, while the algorithm determining positivity of a sample—2 of 3 replicate wells positive—gives a limit of detection </w:t>
      </w:r>
      <w:r w:rsidR="0057753D">
        <w:t xml:space="preserve">(LOD) </w:t>
      </w:r>
      <w:r w:rsidR="00D84A99">
        <w:t xml:space="preserve">for the assay as implemented.   </w:t>
      </w:r>
      <w:r w:rsidR="0057753D">
        <w:t>We estimate the expected LOD(s) of the assa</w:t>
      </w:r>
      <w:r w:rsidR="00D56742">
        <w:t xml:space="preserve">y from the reported experiment </w:t>
      </w:r>
      <w:r w:rsidR="0057753D">
        <w:t xml:space="preserve">as </w:t>
      </w:r>
      <w:r w:rsidR="00D56742">
        <w:t>we now describe</w:t>
      </w:r>
      <w:r w:rsidR="0057753D">
        <w:t>.  The data su</w:t>
      </w:r>
      <w:r>
        <w:t>ggest that the LOD may vary by master mix and primer s</w:t>
      </w:r>
      <w:r w:rsidR="0057753D">
        <w:t xml:space="preserve">et, </w:t>
      </w:r>
      <w:r w:rsidR="00D56742">
        <w:t>al</w:t>
      </w:r>
      <w:r w:rsidR="0057753D">
        <w:t xml:space="preserve">though </w:t>
      </w:r>
      <w:r w:rsidR="00D56742">
        <w:t xml:space="preserve">because </w:t>
      </w:r>
      <w:r w:rsidR="0057753D">
        <w:t xml:space="preserve">the available information limits our ability to model these experimental combinations simultaneously, we </w:t>
      </w:r>
      <w:r w:rsidR="00383825">
        <w:t xml:space="preserve">estimate the LODs separately for these.  </w:t>
      </w:r>
      <w:r w:rsidR="00944A09">
        <w:t xml:space="preserve"> We describe t</w:t>
      </w:r>
      <w:r w:rsidR="00897A28">
        <w:t xml:space="preserve">he estimation </w:t>
      </w:r>
      <w:r w:rsidR="00944A09">
        <w:t>approach</w:t>
      </w:r>
      <w:r w:rsidR="00897A28">
        <w:t xml:space="preserve"> generally, </w:t>
      </w:r>
      <w:r w:rsidR="00D56742">
        <w:t xml:space="preserve">and then apply </w:t>
      </w:r>
      <w:r w:rsidR="002E5BCE">
        <w:t xml:space="preserve">the same </w:t>
      </w:r>
      <w:r w:rsidR="00897A28">
        <w:t>methods to each experimental condition.</w:t>
      </w:r>
    </w:p>
    <w:p w:rsidR="00897A28" w:rsidRDefault="00897A28" w:rsidP="00D84A99"/>
    <w:p w:rsidR="00D84A99" w:rsidRDefault="009E1E60" w:rsidP="00D84A99">
      <w:r>
        <w:t>Since</w:t>
      </w:r>
      <w:r w:rsidR="00897A28">
        <w:t xml:space="preserve"> the RNA concentration/dilution sequences differed for two different batches of sample, </w:t>
      </w:r>
      <w:r w:rsidR="00A67D56">
        <w:t>observations</w:t>
      </w:r>
      <w:r w:rsidR="00897A28">
        <w:t xml:space="preserve"> </w:t>
      </w:r>
      <w:r w:rsidR="00A67D56">
        <w:t xml:space="preserve">were </w:t>
      </w:r>
      <w:r w:rsidR="00897A28">
        <w:t xml:space="preserve">recorded as one of batch 1 </w:t>
      </w:r>
      <w:r w:rsidR="00163CDC">
        <w:t xml:space="preserve">concentrations [1.06, 2.39, 3.74, </w:t>
      </w:r>
      <w:r w:rsidR="00A67D56">
        <w:t>4.4</w:t>
      </w:r>
      <w:r>
        <w:t>6, 13.18, 27.10, 345.05 RNA copies/µl</w:t>
      </w:r>
      <w:r w:rsidR="00A67D56">
        <w:t xml:space="preserve">] and batch 2 concentrations [0.47, 0.93, 1.67, 3.40, 6.00, 12.00, 116.00 </w:t>
      </w:r>
      <w:r>
        <w:t>copies/µl</w:t>
      </w:r>
      <w:r w:rsidR="00A67D56">
        <w:t>]</w:t>
      </w:r>
      <w:r w:rsidR="00D56742">
        <w:t xml:space="preserve"> for</w:t>
      </w:r>
      <w:r w:rsidR="00A67D56">
        <w:t xml:space="preserve"> </w:t>
      </w:r>
      <w:r w:rsidR="00897A28">
        <w:t>individual replicate measurement</w:t>
      </w:r>
      <w:r>
        <w:t>s</w:t>
      </w:r>
      <w:r w:rsidR="00897A28">
        <w:t xml:space="preserve"> of RNA concentration</w:t>
      </w:r>
      <w:r w:rsidR="00A67D56">
        <w:t xml:space="preserve">.  </w:t>
      </w:r>
      <w:r w:rsidR="007F2F1F">
        <w:t xml:space="preserve">This mixing of concentrations and unequal dilution stepping made standard methods for dilution assays </w:t>
      </w:r>
      <w:r w:rsidR="00D56742">
        <w:t>not readily applicable</w:t>
      </w:r>
      <w:r>
        <w:t>.</w:t>
      </w:r>
      <w:r w:rsidR="007F2F1F">
        <w:t xml:space="preserve">  </w:t>
      </w:r>
      <w:r>
        <w:t>Depending on the master mix/primer s</w:t>
      </w:r>
      <w:r w:rsidR="00A67D56">
        <w:t xml:space="preserve">et combination, either 6 or 9 replicates were performed.  These replicates were </w:t>
      </w:r>
      <w:r w:rsidR="00D56742">
        <w:t>grouped</w:t>
      </w:r>
      <w:r w:rsidR="00A67D56">
        <w:t xml:space="preserve"> in triplicates </w:t>
      </w:r>
      <w:r w:rsidR="00D56742">
        <w:t xml:space="preserve">and the </w:t>
      </w:r>
      <w:r w:rsidR="00A67D56">
        <w:t>assay algorithm of identifying the second smallest value of the three as the final response for the triplicate set</w:t>
      </w:r>
      <w:r w:rsidR="007F2F1F">
        <w:t xml:space="preserve"> </w:t>
      </w:r>
      <w:r w:rsidR="00D56742">
        <w:t xml:space="preserve">was used </w:t>
      </w:r>
      <w:r w:rsidR="007F2F1F">
        <w:t>(if the smallest two were equal, this value</w:t>
      </w:r>
      <w:r w:rsidR="00D56742">
        <w:t xml:space="preserve"> was used</w:t>
      </w:r>
      <w:r w:rsidR="007F2F1F">
        <w:t xml:space="preserve">), </w:t>
      </w:r>
      <w:r w:rsidR="00D56742">
        <w:t xml:space="preserve">and this </w:t>
      </w:r>
      <w:r w:rsidR="00A67D56">
        <w:t>yielded either 2 or 3</w:t>
      </w:r>
      <w:r>
        <w:t xml:space="preserve"> observations of assay LOD per m</w:t>
      </w:r>
      <w:r w:rsidR="00A67D56">
        <w:t>aster</w:t>
      </w:r>
      <w:r>
        <w:t xml:space="preserve"> mix/primer s</w:t>
      </w:r>
      <w:r w:rsidR="00A67D56">
        <w:t>et combination.</w:t>
      </w:r>
      <w:r w:rsidR="00AE1A98">
        <w:t xml:space="preserve">  The distribution of this final response from the assay algorithm is of interest when making inference regarding the LOD for the assay, since this is the quantity that is used to characterize samples.  </w:t>
      </w:r>
    </w:p>
    <w:p w:rsidR="007F2F1F" w:rsidRDefault="007F2F1F" w:rsidP="00D84A99"/>
    <w:p w:rsidR="00511E02" w:rsidRDefault="00840E3C" w:rsidP="00E0615F">
      <w:pPr>
        <w:rPr>
          <w:rFonts w:eastAsiaTheme="minorEastAsia"/>
        </w:rPr>
      </w:pPr>
      <w:r>
        <w:t>The distribution of the assay LOD may be derived from the distribution of the individual replicates by noting that the value of the second-largest observation is the second order statistic of three observations for independent</w:t>
      </w:r>
      <w:r w:rsidR="002358E3">
        <w:t xml:space="preserve"> replicates grouped into threes</w:t>
      </w:r>
      <w:r>
        <w:t xml:space="preserve">.  </w:t>
      </w:r>
      <w:r w:rsidR="00B678BE">
        <w:t>A model for the distribution of the individual LOD replicates thus readily yields the required distribution for the assay LOD using standard results from the distribution theory of order statistics.</w:t>
      </w:r>
      <w:r w:rsidR="00E0615F" w:rsidRPr="00E0615F">
        <w:t xml:space="preserve"> </w:t>
      </w:r>
      <w:r w:rsidR="00E0615F">
        <w:t xml:space="preserve"> Noting that individual replicate responses </w:t>
      </w:r>
      <w:r w:rsidR="00997E1B">
        <w:t xml:space="preserve">are reasonably modeled as continuous, </w:t>
      </w:r>
      <w:r w:rsidR="00E0615F">
        <w:t>positive, skewed right, and interval censored, we modeled these values using standard survival analysis methods assuming either a Weibull (</w:t>
      </w:r>
      <w:r w:rsidR="00997E1B">
        <w:t xml:space="preserve">when </w:t>
      </w:r>
      <w:r w:rsidR="00E0615F">
        <w:t>at least 4 unique values</w:t>
      </w:r>
      <w:r w:rsidR="00997E1B">
        <w:t xml:space="preserve"> were available</w:t>
      </w:r>
      <w:r w:rsidR="00E0615F">
        <w:t>) or an exponential (fewer than 4 unique values</w:t>
      </w:r>
      <w:r w:rsidR="00997E1B">
        <w:t xml:space="preserve"> available</w:t>
      </w:r>
      <w:r w:rsidR="00E0615F">
        <w:t xml:space="preserve">); recall the exponential distribution is a special case of the Weibull.  Resulting </w:t>
      </w:r>
      <w:r w:rsidR="00114702">
        <w:t>shape and scale estimates therefore provide a model fit for the indi</w:t>
      </w:r>
      <w:r w:rsidR="00931007">
        <w:t>vidual LOD replicates.  Denote</w:t>
      </w:r>
      <w:r w:rsidR="00114702">
        <w:t xml:space="preserve"> by </w:t>
      </w:r>
      <m:oMath>
        <m:r>
          <w:rPr>
            <w:rFonts w:ascii="Cambria Math" w:hAnsi="Cambria Math"/>
          </w:rPr>
          <m:t>F(x; r, λ)</m:t>
        </m:r>
      </m:oMath>
      <w:r w:rsidR="00114702">
        <w:rPr>
          <w:rFonts w:eastAsiaTheme="minorEastAsia"/>
        </w:rPr>
        <w:t xml:space="preserve"> </w:t>
      </w:r>
      <w:r w:rsidR="00114702">
        <w:t xml:space="preserve">the cumulative distribution function </w:t>
      </w:r>
      <w:r w:rsidR="00A95CE9">
        <w:t xml:space="preserve">(CDF) </w:t>
      </w:r>
      <w:r w:rsidR="00114702">
        <w:t xml:space="preserve">of the Weibull distribution with shape parameter </w:t>
      </w:r>
      <m:oMath>
        <m:r>
          <w:rPr>
            <w:rFonts w:ascii="Cambria Math" w:hAnsi="Cambria Math"/>
          </w:rPr>
          <m:t>r</m:t>
        </m:r>
      </m:oMath>
      <w:r w:rsidR="00114702">
        <w:rPr>
          <w:rFonts w:eastAsiaTheme="minorEastAsia"/>
        </w:rPr>
        <w:t xml:space="preserve"> and scale </w:t>
      </w:r>
      <w:proofErr w:type="gramStart"/>
      <w:r w:rsidR="00511E02">
        <w:rPr>
          <w:rFonts w:eastAsiaTheme="minorEastAsia"/>
        </w:rPr>
        <w:t>parameter</w:t>
      </w:r>
      <w:r w:rsidR="00D56742">
        <w:rPr>
          <w:rFonts w:eastAsiaTheme="minorEastAsia"/>
        </w:rPr>
        <w:t xml:space="preserve"> </w:t>
      </w:r>
      <w:proofErr w:type="gramEnd"/>
      <m:oMath>
        <m:r>
          <w:rPr>
            <w:rFonts w:ascii="Cambria Math" w:eastAsiaTheme="minorEastAsia" w:hAnsi="Cambria Math"/>
          </w:rPr>
          <m:t>λ</m:t>
        </m:r>
      </m:oMath>
      <w:r w:rsidR="00114702">
        <w:rPr>
          <w:rFonts w:eastAsiaTheme="minorEastAsia"/>
        </w:rPr>
        <w:t xml:space="preserve">; </w:t>
      </w:r>
      <m:oMath>
        <m:r>
          <w:rPr>
            <w:rFonts w:ascii="Cambria Math" w:eastAsiaTheme="minorEastAsia" w:hAnsi="Cambria Math"/>
          </w:rPr>
          <m:t>r</m:t>
        </m:r>
      </m:oMath>
      <w:r w:rsidR="00D56742">
        <w:rPr>
          <w:rFonts w:eastAsiaTheme="minorEastAsia"/>
        </w:rPr>
        <w:t xml:space="preserve"> is fixed at 1 </w:t>
      </w:r>
      <w:r w:rsidR="00114702">
        <w:rPr>
          <w:rFonts w:eastAsiaTheme="minorEastAsia"/>
        </w:rPr>
        <w:t xml:space="preserve">for the exponential distribution.  </w:t>
      </w:r>
      <w:r w:rsidR="00511E02">
        <w:rPr>
          <w:rFonts w:eastAsiaTheme="minorEastAsia"/>
        </w:rPr>
        <w:t>The</w:t>
      </w:r>
      <w:r w:rsidR="00931007">
        <w:rPr>
          <w:rFonts w:eastAsiaTheme="minorEastAsia"/>
        </w:rPr>
        <w:t xml:space="preserve"> resulting</w:t>
      </w:r>
      <w:r w:rsidR="00511E02">
        <w:rPr>
          <w:rFonts w:eastAsiaTheme="minorEastAsia"/>
        </w:rPr>
        <w:t xml:space="preserve"> CDF of the distribution of the assay LOD is</w:t>
      </w:r>
      <w:r w:rsidR="00721BCF">
        <w:rPr>
          <w:rFonts w:eastAsiaTheme="minorEastAsia"/>
        </w:rPr>
        <w:t>,</w:t>
      </w:r>
      <w:r w:rsidR="00511E02">
        <w:rPr>
          <w:rFonts w:eastAsiaTheme="minorEastAsia"/>
        </w:rPr>
        <w:t xml:space="preserve"> </w:t>
      </w:r>
      <w:r w:rsidR="00721BCF">
        <w:rPr>
          <w:rFonts w:eastAsiaTheme="minorEastAsia"/>
        </w:rPr>
        <w:t xml:space="preserve">therefore,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2;3</m:t>
            </m:r>
          </m:sub>
        </m:sSub>
        <m:r>
          <w:rPr>
            <w:rFonts w:ascii="Cambria Math" w:eastAsiaTheme="minorEastAsia" w:hAnsi="Cambria Math"/>
          </w:rPr>
          <m:t>(x;r,λ)=</m:t>
        </m:r>
        <m:r>
          <w:rPr>
            <w:rFonts w:ascii="Cambria Math" w:hAnsi="Cambria Math"/>
          </w:rPr>
          <m:t xml:space="preserve"> F</m:t>
        </m:r>
        <m:sSup>
          <m:sSupPr>
            <m:ctrlPr>
              <w:rPr>
                <w:rFonts w:ascii="Cambria Math" w:hAnsi="Cambria Math"/>
                <w:i/>
              </w:rPr>
            </m:ctrlPr>
          </m:sSupPr>
          <m:e>
            <m:d>
              <m:dPr>
                <m:ctrlPr>
                  <w:rPr>
                    <w:rFonts w:ascii="Cambria Math" w:hAnsi="Cambria Math"/>
                    <w:i/>
                  </w:rPr>
                </m:ctrlPr>
              </m:dPr>
              <m:e>
                <m:r>
                  <w:rPr>
                    <w:rFonts w:ascii="Cambria Math" w:hAnsi="Cambria Math"/>
                  </w:rPr>
                  <m:t>x; r, λ</m:t>
                </m:r>
              </m:e>
            </m:d>
          </m:e>
          <m:sup>
            <m:r>
              <w:rPr>
                <w:rFonts w:ascii="Cambria Math" w:hAnsi="Cambria Math"/>
              </w:rPr>
              <m:t>2</m:t>
            </m:r>
          </m:sup>
        </m:sSup>
        <m:d>
          <m:dPr>
            <m:begChr m:val="["/>
            <m:endChr m:val="]"/>
            <m:ctrlPr>
              <w:rPr>
                <w:rFonts w:ascii="Cambria Math" w:hAnsi="Cambria Math"/>
                <w:i/>
              </w:rPr>
            </m:ctrlPr>
          </m:dPr>
          <m:e>
            <m:r>
              <w:rPr>
                <w:rFonts w:ascii="Cambria Math" w:hAnsi="Cambria Math"/>
              </w:rPr>
              <m:t>3-2F(x; r, λ)</m:t>
            </m:r>
          </m:e>
        </m:d>
      </m:oMath>
      <w:r w:rsidR="0003349D">
        <w:rPr>
          <w:rFonts w:eastAsiaTheme="minorEastAsia"/>
        </w:rPr>
        <w:t>, where the subscript 2;3 indicates the second order statistic of a sample of size three.</w:t>
      </w:r>
    </w:p>
    <w:p w:rsidR="00511E02" w:rsidRDefault="00511E02" w:rsidP="00E0615F">
      <w:pPr>
        <w:rPr>
          <w:rFonts w:eastAsiaTheme="minorEastAsia"/>
        </w:rPr>
      </w:pPr>
    </w:p>
    <w:p w:rsidR="008B53C0" w:rsidRDefault="00BA06A1">
      <w:pPr>
        <w:rPr>
          <w:rFonts w:eastAsiaTheme="minorEastAsia"/>
        </w:rPr>
      </w:pPr>
      <w:r>
        <w:rPr>
          <w:rFonts w:eastAsiaTheme="minorEastAsia"/>
        </w:rPr>
        <w:t>Implementing the s</w:t>
      </w:r>
      <w:r w:rsidR="00114702">
        <w:rPr>
          <w:rFonts w:eastAsiaTheme="minorEastAsia"/>
        </w:rPr>
        <w:t xml:space="preserve">urvival analysis approach described provides maximum likelihood estimates </w:t>
      </w:r>
      <m:oMath>
        <m:acc>
          <m:accPr>
            <m:ctrlPr>
              <w:rPr>
                <w:rFonts w:ascii="Cambria Math" w:eastAsiaTheme="minorEastAsia" w:hAnsi="Cambria Math"/>
                <w:i/>
              </w:rPr>
            </m:ctrlPr>
          </m:accPr>
          <m:e>
            <m:r>
              <w:rPr>
                <w:rFonts w:ascii="Cambria Math" w:eastAsiaTheme="minorEastAsia" w:hAnsi="Cambria Math"/>
              </w:rPr>
              <m:t>r</m:t>
            </m:r>
          </m:e>
        </m:acc>
      </m:oMath>
      <w:r w:rsidR="00114702">
        <w:rPr>
          <w:rFonts w:eastAsiaTheme="minorEastAsia"/>
        </w:rPr>
        <w:t xml:space="preserve"> and </w:t>
      </w:r>
      <m:oMath>
        <m:acc>
          <m:accPr>
            <m:ctrlPr>
              <w:rPr>
                <w:rFonts w:ascii="Cambria Math" w:eastAsiaTheme="minorEastAsia" w:hAnsi="Cambria Math"/>
                <w:i/>
              </w:rPr>
            </m:ctrlPr>
          </m:accPr>
          <m:e>
            <m:r>
              <w:rPr>
                <w:rFonts w:ascii="Cambria Math" w:eastAsiaTheme="minorEastAsia" w:hAnsi="Cambria Math"/>
              </w:rPr>
              <m:t>λ</m:t>
            </m:r>
          </m:e>
        </m:acc>
      </m:oMath>
      <w:r w:rsidR="00114702">
        <w:rPr>
          <w:rFonts w:eastAsiaTheme="minorEastAsia"/>
        </w:rPr>
        <w:t xml:space="preserve"> in the case of the Weibull, and </w:t>
      </w:r>
      <m:oMath>
        <m:acc>
          <m:accPr>
            <m:ctrlPr>
              <w:rPr>
                <w:rFonts w:ascii="Cambria Math" w:eastAsiaTheme="minorEastAsia" w:hAnsi="Cambria Math"/>
                <w:i/>
              </w:rPr>
            </m:ctrlPr>
          </m:accPr>
          <m:e>
            <m:r>
              <w:rPr>
                <w:rFonts w:ascii="Cambria Math" w:eastAsiaTheme="minorEastAsia" w:hAnsi="Cambria Math"/>
              </w:rPr>
              <m:t>λ</m:t>
            </m:r>
          </m:e>
        </m:acc>
      </m:oMath>
      <w:r w:rsidR="009C3030">
        <w:rPr>
          <w:rFonts w:eastAsiaTheme="minorEastAsia"/>
        </w:rPr>
        <w:t xml:space="preserve"> for the exponential, and these may be used directly in the expression </w:t>
      </w:r>
      <w:proofErr w:type="gramStart"/>
      <w:r w:rsidR="009C3030">
        <w:rPr>
          <w:rFonts w:eastAsiaTheme="minorEastAsia"/>
        </w:rPr>
        <w:t xml:space="preserve">for </w:t>
      </w:r>
      <w:proofErr w:type="gramEnd"/>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2;3</m:t>
            </m:r>
          </m:sub>
        </m:sSub>
        <m:r>
          <w:rPr>
            <w:rFonts w:ascii="Cambria Math" w:eastAsiaTheme="minorEastAsia" w:hAnsi="Cambria Math"/>
          </w:rPr>
          <m:t>(x;r, λ)</m:t>
        </m:r>
      </m:oMath>
      <w:r w:rsidR="00673DDB">
        <w:rPr>
          <w:rFonts w:eastAsiaTheme="minorEastAsia"/>
        </w:rPr>
        <w:t>, giving an estimate of the distribution for the assay LOD.</w:t>
      </w:r>
      <w:r w:rsidR="00306F4B">
        <w:rPr>
          <w:rFonts w:eastAsiaTheme="minorEastAsia"/>
        </w:rPr>
        <w:t xml:space="preserve">  The expected assay LOD is thus the mean of this distribution, which must be computed numerically using the probability </w:t>
      </w:r>
      <w:r w:rsidR="00923A7E">
        <w:rPr>
          <w:rFonts w:eastAsiaTheme="minorEastAsia"/>
        </w:rPr>
        <w:t>density</w:t>
      </w:r>
      <w:r w:rsidR="00306F4B">
        <w:rPr>
          <w:rFonts w:eastAsiaTheme="minorEastAsia"/>
        </w:rPr>
        <w:t xml:space="preserve"> function derived from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2;3</m:t>
            </m:r>
          </m:sub>
        </m:sSub>
        <m:r>
          <w:rPr>
            <w:rFonts w:ascii="Cambria Math" w:eastAsiaTheme="minorEastAsia" w:hAnsi="Cambria Math"/>
          </w:rPr>
          <m:t>(x;r, λ)</m:t>
        </m:r>
      </m:oMath>
      <w:r w:rsidR="00306F4B">
        <w:rPr>
          <w:rFonts w:eastAsiaTheme="minorEastAsia"/>
        </w:rPr>
        <w:t xml:space="preserve"> and numerical integration</w:t>
      </w:r>
      <w:r w:rsidR="00857108">
        <w:rPr>
          <w:rFonts w:eastAsiaTheme="minorEastAsia"/>
        </w:rPr>
        <w:t>.</w:t>
      </w:r>
      <w:r w:rsidR="00306F4B">
        <w:rPr>
          <w:rFonts w:eastAsiaTheme="minorEastAsia"/>
        </w:rPr>
        <w:t xml:space="preserve">  </w:t>
      </w:r>
      <w:r>
        <w:t xml:space="preserve">Confidence intervals for the mean assay LOD may theoretically be computed using asymptotic results, but with few observations here, instead we use bootstrap resampling </w:t>
      </w:r>
      <w:r w:rsidR="008B53C0">
        <w:fldChar w:fldCharType="begin"/>
      </w:r>
      <w:r w:rsidR="008B53C0">
        <w:instrText xml:space="preserve"> ADDIN EN.CITE &lt;EndNote&gt;&lt;Cite&gt;&lt;Author&gt;Davison&lt;/Author&gt;&lt;Year&gt;1997&lt;/Year&gt;&lt;RecNum&gt;58&lt;/RecNum&gt;&lt;DisplayText&gt;(1)&lt;/DisplayText&gt;&lt;record&gt;&lt;rec-number&gt;58&lt;/rec-number&gt;&lt;foreign-keys&gt;&lt;key app="EN" db-id="z5dtwfvw60xefke059wx2fsk5x5f9wdeaew2" timestamp="1503433988"&gt;58&lt;/key&gt;&lt;/foreign-keys&gt;&lt;ref-type name="Book"&gt;6&lt;/ref-type&gt;&lt;contributors&gt;&lt;authors&gt;&lt;author&gt;Davison, A. C.&lt;/author&gt;&lt;author&gt;Hinkley, D. V.&lt;/author&gt;&lt;/authors&gt;&lt;/contributors&gt;&lt;titles&gt;&lt;title&gt;Bootstrap methods and their application&lt;/title&gt;&lt;/titles&gt;&lt;pages&gt;x, 582 p.&lt;/pages&gt;&lt;keywords&gt;&lt;keyword&gt;Bootstrap (Statistics)&lt;/keyword&gt;&lt;/keywords&gt;&lt;dates&gt;&lt;year&gt;1997&lt;/year&gt;&lt;/dates&gt;&lt;pub-location&gt;Cambridge ; New York, NY, USA&lt;/pub-location&gt;&lt;publisher&gt;Cambridge University Press&lt;/publisher&gt;&lt;isbn&gt;0521573912 (hb)&amp;#xD;0521574714 (pb)&lt;/isbn&gt;&lt;call-num&gt;QA276.8 .D38 1997&amp;#xD;519.5/44&lt;/call-num&gt;&lt;urls&gt;&lt;related-urls&gt;&lt;url&gt;http://www.loc.gov/catdir/description/cam027/96030064.html&lt;/url&gt;&lt;url&gt;http://www.loc.gov/catdir/toc/cam027/96030064.html&lt;/url&gt;&lt;/related-urls&gt;&lt;/urls&gt;&lt;/record&gt;&lt;/Cite&gt;&lt;/EndNote&gt;</w:instrText>
      </w:r>
      <w:r w:rsidR="008B53C0">
        <w:fldChar w:fldCharType="separate"/>
      </w:r>
      <w:r w:rsidR="008B53C0">
        <w:rPr>
          <w:noProof/>
        </w:rPr>
        <w:t>(1)</w:t>
      </w:r>
      <w:r w:rsidR="008B53C0">
        <w:fldChar w:fldCharType="end"/>
      </w:r>
      <w:r w:rsidR="00B83D8A">
        <w:t>.  Briefly, t</w:t>
      </w:r>
      <w:r>
        <w:t xml:space="preserve">he 6 or 9 individual replicates were resampled with replacement 10,000 times, and for each of these </w:t>
      </w:r>
      <w:r w:rsidR="00B83D8A">
        <w:t>resample datasets</w:t>
      </w:r>
      <w:r>
        <w:t xml:space="preserve">, maximum likelihood estimates </w:t>
      </w:r>
      <m:oMath>
        <m:acc>
          <m:accPr>
            <m:ctrlPr>
              <w:rPr>
                <w:rFonts w:ascii="Cambria Math" w:eastAsiaTheme="minorEastAsia" w:hAnsi="Cambria Math"/>
                <w:i/>
              </w:rPr>
            </m:ctrlPr>
          </m:accPr>
          <m:e>
            <m:r>
              <w:rPr>
                <w:rFonts w:ascii="Cambria Math" w:eastAsiaTheme="minorEastAsia" w:hAnsi="Cambria Math"/>
              </w:rPr>
              <m:t>r</m:t>
            </m:r>
          </m:e>
        </m:acc>
      </m:oMath>
      <w:r>
        <w:rPr>
          <w:rFonts w:eastAsiaTheme="minorEastAsia"/>
        </w:rPr>
        <w:t xml:space="preserve"> and </w:t>
      </w:r>
      <m:oMath>
        <m:acc>
          <m:accPr>
            <m:ctrlPr>
              <w:rPr>
                <w:rFonts w:ascii="Cambria Math" w:eastAsiaTheme="minorEastAsia" w:hAnsi="Cambria Math"/>
                <w:i/>
              </w:rPr>
            </m:ctrlPr>
          </m:accPr>
          <m:e>
            <m:r>
              <w:rPr>
                <w:rFonts w:ascii="Cambria Math" w:eastAsiaTheme="minorEastAsia" w:hAnsi="Cambria Math"/>
              </w:rPr>
              <m:t>λ</m:t>
            </m:r>
          </m:e>
        </m:acc>
      </m:oMath>
      <w:r>
        <w:rPr>
          <w:rFonts w:eastAsiaTheme="minorEastAsia"/>
        </w:rPr>
        <w:t xml:space="preserve"> were computed </w:t>
      </w:r>
      <w:r w:rsidR="00B83D8A">
        <w:rPr>
          <w:rFonts w:eastAsiaTheme="minorEastAsia"/>
        </w:rPr>
        <w:t xml:space="preserve">and the mean of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2;3</m:t>
            </m:r>
          </m:sub>
        </m:sSub>
        <m:r>
          <w:rPr>
            <w:rFonts w:ascii="Cambria Math" w:eastAsiaTheme="minorEastAsia" w:hAnsi="Cambria Math"/>
          </w:rPr>
          <m:t>(x;</m:t>
        </m:r>
        <m:acc>
          <m:accPr>
            <m:ctrlPr>
              <w:rPr>
                <w:rFonts w:ascii="Cambria Math" w:eastAsiaTheme="minorEastAsia" w:hAnsi="Cambria Math"/>
                <w:i/>
              </w:rPr>
            </m:ctrlPr>
          </m:accPr>
          <m:e>
            <m:r>
              <w:rPr>
                <w:rFonts w:ascii="Cambria Math" w:eastAsiaTheme="minorEastAsia" w:hAnsi="Cambria Math"/>
              </w:rPr>
              <m:t>r</m:t>
            </m:r>
          </m:e>
        </m:acc>
        <m:r>
          <w:rPr>
            <w:rFonts w:ascii="Cambria Math" w:eastAsiaTheme="minorEastAsia" w:hAnsi="Cambria Math"/>
          </w:rPr>
          <m:t>,</m:t>
        </m:r>
        <m:acc>
          <m:accPr>
            <m:ctrlPr>
              <w:rPr>
                <w:rFonts w:ascii="Cambria Math" w:eastAsiaTheme="minorEastAsia" w:hAnsi="Cambria Math"/>
                <w:i/>
              </w:rPr>
            </m:ctrlPr>
          </m:accPr>
          <m:e>
            <m:r>
              <w:rPr>
                <w:rFonts w:ascii="Cambria Math" w:eastAsiaTheme="minorEastAsia" w:hAnsi="Cambria Math"/>
              </w:rPr>
              <m:t>λ</m:t>
            </m:r>
          </m:e>
        </m:acc>
        <m:r>
          <w:rPr>
            <w:rFonts w:ascii="Cambria Math" w:eastAsiaTheme="minorEastAsia" w:hAnsi="Cambria Math"/>
          </w:rPr>
          <m:t>)</m:t>
        </m:r>
      </m:oMath>
      <w:r w:rsidR="00B83D8A">
        <w:rPr>
          <w:rFonts w:eastAsiaTheme="minorEastAsia"/>
        </w:rPr>
        <w:t xml:space="preserve"> calculated.  The average of these 10,000 bootstrap resample values of the mean assay LOD are our final estimates for the assay LOD, while the empirical 2.5th and 97.5th quantile points of the 10,000 bootstrap resample values provide a 95% confidence interval (CI) for the mean assay LOD.</w:t>
      </w:r>
      <w:r w:rsidR="00943369">
        <w:rPr>
          <w:rFonts w:eastAsiaTheme="minorEastAsia"/>
        </w:rPr>
        <w:t xml:space="preserve">  Estimates of the mean assay LOD (</w:t>
      </w:r>
      <w:r w:rsidR="00934F3C">
        <w:rPr>
          <w:rFonts w:eastAsiaTheme="minorEastAsia"/>
        </w:rPr>
        <w:t>95% CI) are reported in Table 2.</w:t>
      </w:r>
    </w:p>
    <w:p w:rsidR="008B53C0" w:rsidRDefault="008B53C0">
      <w:pPr>
        <w:rPr>
          <w:rFonts w:eastAsiaTheme="minorEastAsia"/>
        </w:rPr>
      </w:pPr>
    </w:p>
    <w:p w:rsidR="008B53C0" w:rsidRPr="008B53C0" w:rsidRDefault="008B53C0" w:rsidP="008B53C0">
      <w:pPr>
        <w:pStyle w:val="EndNoteBibliography"/>
      </w:pPr>
      <w:r>
        <w:rPr>
          <w:rFonts w:eastAsiaTheme="minorEastAsia"/>
        </w:rPr>
        <w:fldChar w:fldCharType="begin"/>
      </w:r>
      <w:r>
        <w:rPr>
          <w:rFonts w:eastAsiaTheme="minorEastAsia"/>
        </w:rPr>
        <w:instrText xml:space="preserve"> ADDIN EN.REFLIST </w:instrText>
      </w:r>
      <w:r>
        <w:rPr>
          <w:rFonts w:eastAsiaTheme="minorEastAsia"/>
        </w:rPr>
        <w:fldChar w:fldCharType="separate"/>
      </w:r>
      <w:r w:rsidRPr="008B53C0">
        <w:t>1.</w:t>
      </w:r>
      <w:r w:rsidRPr="008B53C0">
        <w:tab/>
        <w:t>Davison AC, Hinkley DV. Bootstrap methods and their application. Cambridge ; New York, NY, USA: Cambridge University Press; 1997.</w:t>
      </w:r>
    </w:p>
    <w:p w:rsidR="00E0615F" w:rsidRPr="00934F3C" w:rsidRDefault="008B53C0">
      <w:pPr>
        <w:rPr>
          <w:rFonts w:eastAsiaTheme="minorEastAsia"/>
        </w:rPr>
      </w:pPr>
      <w:r>
        <w:rPr>
          <w:rFonts w:eastAsiaTheme="minorEastAsia"/>
        </w:rPr>
        <w:lastRenderedPageBreak/>
        <w:fldChar w:fldCharType="end"/>
      </w:r>
    </w:p>
    <w:sectPr w:rsidR="00E0615F" w:rsidRPr="00934F3C"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A99" w:rsidRDefault="00D84A99" w:rsidP="008B5D54">
      <w:r>
        <w:separator/>
      </w:r>
    </w:p>
  </w:endnote>
  <w:endnote w:type="continuationSeparator" w:id="0">
    <w:p w:rsidR="00D84A99" w:rsidRDefault="00D84A99"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54" w:rsidRDefault="008B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54" w:rsidRDefault="008B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54" w:rsidRDefault="008B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A99" w:rsidRDefault="00D84A99" w:rsidP="008B5D54">
      <w:r>
        <w:separator/>
      </w:r>
    </w:p>
  </w:footnote>
  <w:footnote w:type="continuationSeparator" w:id="0">
    <w:p w:rsidR="00D84A99" w:rsidRDefault="00D84A99"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54" w:rsidRDefault="008B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54" w:rsidRDefault="008B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dtwfvw60xefke059wx2fsk5x5f9wdeaew2&quot;&gt;zika&lt;record-ids&gt;&lt;item&gt;58&lt;/item&gt;&lt;/record-ids&gt;&lt;/item&gt;&lt;/Libraries&gt;"/>
  </w:docVars>
  <w:rsids>
    <w:rsidRoot w:val="00D84A99"/>
    <w:rsid w:val="0003349D"/>
    <w:rsid w:val="00114702"/>
    <w:rsid w:val="00163CDC"/>
    <w:rsid w:val="001A507C"/>
    <w:rsid w:val="002358E3"/>
    <w:rsid w:val="002E464C"/>
    <w:rsid w:val="002E5BCE"/>
    <w:rsid w:val="00306F4B"/>
    <w:rsid w:val="0031660D"/>
    <w:rsid w:val="00383825"/>
    <w:rsid w:val="003908B8"/>
    <w:rsid w:val="00414F59"/>
    <w:rsid w:val="00511E02"/>
    <w:rsid w:val="0057753D"/>
    <w:rsid w:val="00590FEA"/>
    <w:rsid w:val="00673DDB"/>
    <w:rsid w:val="006C6578"/>
    <w:rsid w:val="00721BCF"/>
    <w:rsid w:val="00784C51"/>
    <w:rsid w:val="007F2F1F"/>
    <w:rsid w:val="00840E3C"/>
    <w:rsid w:val="00857108"/>
    <w:rsid w:val="00897A28"/>
    <w:rsid w:val="008B53C0"/>
    <w:rsid w:val="008B5D54"/>
    <w:rsid w:val="00923A7E"/>
    <w:rsid w:val="00931007"/>
    <w:rsid w:val="00934F3C"/>
    <w:rsid w:val="00943369"/>
    <w:rsid w:val="00944A09"/>
    <w:rsid w:val="00997E1B"/>
    <w:rsid w:val="009C3030"/>
    <w:rsid w:val="009E1E60"/>
    <w:rsid w:val="00A67D56"/>
    <w:rsid w:val="00A95CE9"/>
    <w:rsid w:val="00AE1A98"/>
    <w:rsid w:val="00B55735"/>
    <w:rsid w:val="00B608AC"/>
    <w:rsid w:val="00B678BE"/>
    <w:rsid w:val="00B83D8A"/>
    <w:rsid w:val="00BA06A1"/>
    <w:rsid w:val="00CA2925"/>
    <w:rsid w:val="00D06033"/>
    <w:rsid w:val="00D126F9"/>
    <w:rsid w:val="00D56742"/>
    <w:rsid w:val="00D84A99"/>
    <w:rsid w:val="00DC57CC"/>
    <w:rsid w:val="00DF1B37"/>
    <w:rsid w:val="00E0615F"/>
    <w:rsid w:val="00F5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979053"/>
  <w15:chartTrackingRefBased/>
  <w15:docId w15:val="{499A3E10-B084-4A9A-BED7-A1EB5452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PlaceholderText">
    <w:name w:val="Placeholder Text"/>
    <w:basedOn w:val="DefaultParagraphFont"/>
    <w:uiPriority w:val="99"/>
    <w:semiHidden/>
    <w:rsid w:val="00114702"/>
    <w:rPr>
      <w:color w:val="808080"/>
    </w:rPr>
  </w:style>
  <w:style w:type="table" w:styleId="TableGrid">
    <w:name w:val="Table Grid"/>
    <w:basedOn w:val="TableNormal"/>
    <w:uiPriority w:val="59"/>
    <w:rsid w:val="00943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B53C0"/>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B53C0"/>
    <w:rPr>
      <w:rFonts w:ascii="Calibri" w:hAnsi="Calibri"/>
      <w:noProof/>
    </w:rPr>
  </w:style>
  <w:style w:type="paragraph" w:customStyle="1" w:styleId="EndNoteBibliography">
    <w:name w:val="EndNote Bibliography"/>
    <w:basedOn w:val="Normal"/>
    <w:link w:val="EndNoteBibliographyChar"/>
    <w:rsid w:val="008B53C0"/>
    <w:rPr>
      <w:rFonts w:ascii="Calibri" w:hAnsi="Calibri"/>
      <w:noProof/>
    </w:rPr>
  </w:style>
  <w:style w:type="character" w:customStyle="1" w:styleId="EndNoteBibliographyChar">
    <w:name w:val="EndNote Bibliography Char"/>
    <w:basedOn w:val="DefaultParagraphFont"/>
    <w:link w:val="EndNoteBibliography"/>
    <w:rsid w:val="008B53C0"/>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850650">
      <w:bodyDiv w:val="1"/>
      <w:marLeft w:val="0"/>
      <w:marRight w:val="0"/>
      <w:marTop w:val="0"/>
      <w:marBottom w:val="0"/>
      <w:divBdr>
        <w:top w:val="none" w:sz="0" w:space="0" w:color="auto"/>
        <w:left w:val="none" w:sz="0" w:space="0" w:color="auto"/>
        <w:bottom w:val="none" w:sz="0" w:space="0" w:color="auto"/>
        <w:right w:val="none" w:sz="0" w:space="0" w:color="auto"/>
      </w:divBdr>
      <w:divsChild>
        <w:div w:id="1288854380">
          <w:marLeft w:val="0"/>
          <w:marRight w:val="0"/>
          <w:marTop w:val="0"/>
          <w:marBottom w:val="0"/>
          <w:divBdr>
            <w:top w:val="none" w:sz="0" w:space="0" w:color="auto"/>
            <w:left w:val="none" w:sz="0" w:space="0" w:color="auto"/>
            <w:bottom w:val="none" w:sz="0" w:space="0" w:color="auto"/>
            <w:right w:val="none" w:sz="0" w:space="0" w:color="auto"/>
          </w:divBdr>
          <w:divsChild>
            <w:div w:id="1074358808">
              <w:marLeft w:val="0"/>
              <w:marRight w:val="0"/>
              <w:marTop w:val="0"/>
              <w:marBottom w:val="0"/>
              <w:divBdr>
                <w:top w:val="none" w:sz="0" w:space="0" w:color="auto"/>
                <w:left w:val="none" w:sz="0" w:space="0" w:color="auto"/>
                <w:bottom w:val="none" w:sz="0" w:space="0" w:color="auto"/>
                <w:right w:val="none" w:sz="0" w:space="0" w:color="auto"/>
              </w:divBdr>
              <w:divsChild>
                <w:div w:id="1098066635">
                  <w:marLeft w:val="0"/>
                  <w:marRight w:val="0"/>
                  <w:marTop w:val="0"/>
                  <w:marBottom w:val="0"/>
                  <w:divBdr>
                    <w:top w:val="none" w:sz="0" w:space="0" w:color="auto"/>
                    <w:left w:val="none" w:sz="0" w:space="0" w:color="auto"/>
                    <w:bottom w:val="none" w:sz="0" w:space="0" w:color="auto"/>
                    <w:right w:val="none" w:sz="0" w:space="0" w:color="auto"/>
                  </w:divBdr>
                  <w:divsChild>
                    <w:div w:id="427775230">
                      <w:marLeft w:val="0"/>
                      <w:marRight w:val="0"/>
                      <w:marTop w:val="0"/>
                      <w:marBottom w:val="0"/>
                      <w:divBdr>
                        <w:top w:val="none" w:sz="0" w:space="0" w:color="auto"/>
                        <w:left w:val="none" w:sz="0" w:space="0" w:color="auto"/>
                        <w:bottom w:val="none" w:sz="0" w:space="0" w:color="auto"/>
                        <w:right w:val="none" w:sz="0" w:space="0" w:color="auto"/>
                      </w:divBdr>
                      <w:divsChild>
                        <w:div w:id="1473592698">
                          <w:marLeft w:val="0"/>
                          <w:marRight w:val="0"/>
                          <w:marTop w:val="0"/>
                          <w:marBottom w:val="0"/>
                          <w:divBdr>
                            <w:top w:val="none" w:sz="0" w:space="0" w:color="auto"/>
                            <w:left w:val="none" w:sz="0" w:space="0" w:color="auto"/>
                            <w:bottom w:val="none" w:sz="0" w:space="0" w:color="auto"/>
                            <w:right w:val="none" w:sz="0" w:space="0" w:color="auto"/>
                          </w:divBdr>
                          <w:divsChild>
                            <w:div w:id="1566917936">
                              <w:marLeft w:val="0"/>
                              <w:marRight w:val="0"/>
                              <w:marTop w:val="0"/>
                              <w:marBottom w:val="0"/>
                              <w:divBdr>
                                <w:top w:val="none" w:sz="0" w:space="0" w:color="auto"/>
                                <w:left w:val="none" w:sz="0" w:space="0" w:color="auto"/>
                                <w:bottom w:val="none" w:sz="0" w:space="0" w:color="auto"/>
                                <w:right w:val="none" w:sz="0" w:space="0" w:color="auto"/>
                              </w:divBdr>
                              <w:divsChild>
                                <w:div w:id="413281058">
                                  <w:marLeft w:val="0"/>
                                  <w:marRight w:val="0"/>
                                  <w:marTop w:val="0"/>
                                  <w:marBottom w:val="0"/>
                                  <w:divBdr>
                                    <w:top w:val="none" w:sz="0" w:space="0" w:color="auto"/>
                                    <w:left w:val="none" w:sz="0" w:space="0" w:color="auto"/>
                                    <w:bottom w:val="none" w:sz="0" w:space="0" w:color="auto"/>
                                    <w:right w:val="none" w:sz="0" w:space="0" w:color="auto"/>
                                  </w:divBdr>
                                  <w:divsChild>
                                    <w:div w:id="959146519">
                                      <w:marLeft w:val="0"/>
                                      <w:marRight w:val="0"/>
                                      <w:marTop w:val="0"/>
                                      <w:marBottom w:val="0"/>
                                      <w:divBdr>
                                        <w:top w:val="none" w:sz="0" w:space="0" w:color="auto"/>
                                        <w:left w:val="none" w:sz="0" w:space="0" w:color="auto"/>
                                        <w:bottom w:val="none" w:sz="0" w:space="0" w:color="auto"/>
                                        <w:right w:val="none" w:sz="0" w:space="0" w:color="auto"/>
                                      </w:divBdr>
                                      <w:divsChild>
                                        <w:div w:id="1164319110">
                                          <w:marLeft w:val="0"/>
                                          <w:marRight w:val="0"/>
                                          <w:marTop w:val="0"/>
                                          <w:marBottom w:val="0"/>
                                          <w:divBdr>
                                            <w:top w:val="none" w:sz="0" w:space="0" w:color="auto"/>
                                            <w:left w:val="none" w:sz="0" w:space="0" w:color="auto"/>
                                            <w:bottom w:val="none" w:sz="0" w:space="0" w:color="auto"/>
                                            <w:right w:val="none" w:sz="0" w:space="0" w:color="auto"/>
                                          </w:divBdr>
                                          <w:divsChild>
                                            <w:div w:id="1674143526">
                                              <w:marLeft w:val="0"/>
                                              <w:marRight w:val="0"/>
                                              <w:marTop w:val="0"/>
                                              <w:marBottom w:val="0"/>
                                              <w:divBdr>
                                                <w:top w:val="none" w:sz="0" w:space="0" w:color="auto"/>
                                                <w:left w:val="none" w:sz="0" w:space="0" w:color="auto"/>
                                                <w:bottom w:val="none" w:sz="0" w:space="0" w:color="auto"/>
                                                <w:right w:val="none" w:sz="0" w:space="0" w:color="auto"/>
                                              </w:divBdr>
                                              <w:divsChild>
                                                <w:div w:id="799880025">
                                                  <w:marLeft w:val="0"/>
                                                  <w:marRight w:val="0"/>
                                                  <w:marTop w:val="0"/>
                                                  <w:marBottom w:val="0"/>
                                                  <w:divBdr>
                                                    <w:top w:val="none" w:sz="0" w:space="0" w:color="auto"/>
                                                    <w:left w:val="none" w:sz="0" w:space="0" w:color="auto"/>
                                                    <w:bottom w:val="none" w:sz="0" w:space="0" w:color="auto"/>
                                                    <w:right w:val="none" w:sz="0" w:space="0" w:color="auto"/>
                                                  </w:divBdr>
                                                  <w:divsChild>
                                                    <w:div w:id="1456481450">
                                                      <w:marLeft w:val="0"/>
                                                      <w:marRight w:val="0"/>
                                                      <w:marTop w:val="0"/>
                                                      <w:marBottom w:val="0"/>
                                                      <w:divBdr>
                                                        <w:top w:val="none" w:sz="0" w:space="0" w:color="auto"/>
                                                        <w:left w:val="none" w:sz="0" w:space="0" w:color="auto"/>
                                                        <w:bottom w:val="none" w:sz="0" w:space="0" w:color="auto"/>
                                                        <w:right w:val="none" w:sz="0" w:space="0" w:color="auto"/>
                                                      </w:divBdr>
                                                      <w:divsChild>
                                                        <w:div w:id="1535460706">
                                                          <w:marLeft w:val="0"/>
                                                          <w:marRight w:val="0"/>
                                                          <w:marTop w:val="0"/>
                                                          <w:marBottom w:val="0"/>
                                                          <w:divBdr>
                                                            <w:top w:val="none" w:sz="0" w:space="0" w:color="auto"/>
                                                            <w:left w:val="none" w:sz="0" w:space="0" w:color="auto"/>
                                                            <w:bottom w:val="none" w:sz="0" w:space="0" w:color="auto"/>
                                                            <w:right w:val="none" w:sz="0" w:space="0" w:color="auto"/>
                                                          </w:divBdr>
                                                          <w:divsChild>
                                                            <w:div w:id="45178755">
                                                              <w:marLeft w:val="0"/>
                                                              <w:marRight w:val="0"/>
                                                              <w:marTop w:val="0"/>
                                                              <w:marBottom w:val="0"/>
                                                              <w:divBdr>
                                                                <w:top w:val="none" w:sz="0" w:space="0" w:color="auto"/>
                                                                <w:left w:val="none" w:sz="0" w:space="0" w:color="auto"/>
                                                                <w:bottom w:val="none" w:sz="0" w:space="0" w:color="auto"/>
                                                                <w:right w:val="none" w:sz="0" w:space="0" w:color="auto"/>
                                                              </w:divBdr>
                                                              <w:divsChild>
                                                                <w:div w:id="1734351754">
                                                                  <w:marLeft w:val="0"/>
                                                                  <w:marRight w:val="0"/>
                                                                  <w:marTop w:val="0"/>
                                                                  <w:marBottom w:val="0"/>
                                                                  <w:divBdr>
                                                                    <w:top w:val="none" w:sz="0" w:space="0" w:color="auto"/>
                                                                    <w:left w:val="none" w:sz="0" w:space="0" w:color="auto"/>
                                                                    <w:bottom w:val="none" w:sz="0" w:space="0" w:color="auto"/>
                                                                    <w:right w:val="none" w:sz="0" w:space="0" w:color="auto"/>
                                                                  </w:divBdr>
                                                                  <w:divsChild>
                                                                    <w:div w:id="443114726">
                                                                      <w:marLeft w:val="0"/>
                                                                      <w:marRight w:val="0"/>
                                                                      <w:marTop w:val="0"/>
                                                                      <w:marBottom w:val="0"/>
                                                                      <w:divBdr>
                                                                        <w:top w:val="none" w:sz="0" w:space="0" w:color="auto"/>
                                                                        <w:left w:val="none" w:sz="0" w:space="0" w:color="auto"/>
                                                                        <w:bottom w:val="none" w:sz="0" w:space="0" w:color="auto"/>
                                                                        <w:right w:val="none" w:sz="0" w:space="0" w:color="auto"/>
                                                                      </w:divBdr>
                                                                      <w:divsChild>
                                                                        <w:div w:id="2026248340">
                                                                          <w:marLeft w:val="0"/>
                                                                          <w:marRight w:val="0"/>
                                                                          <w:marTop w:val="0"/>
                                                                          <w:marBottom w:val="0"/>
                                                                          <w:divBdr>
                                                                            <w:top w:val="none" w:sz="0" w:space="0" w:color="auto"/>
                                                                            <w:left w:val="none" w:sz="0" w:space="0" w:color="auto"/>
                                                                            <w:bottom w:val="none" w:sz="0" w:space="0" w:color="auto"/>
                                                                            <w:right w:val="none" w:sz="0" w:space="0" w:color="auto"/>
                                                                          </w:divBdr>
                                                                          <w:divsChild>
                                                                            <w:div w:id="1450121231">
                                                                              <w:marLeft w:val="0"/>
                                                                              <w:marRight w:val="0"/>
                                                                              <w:marTop w:val="0"/>
                                                                              <w:marBottom w:val="0"/>
                                                                              <w:divBdr>
                                                                                <w:top w:val="none" w:sz="0" w:space="0" w:color="auto"/>
                                                                                <w:left w:val="none" w:sz="0" w:space="0" w:color="auto"/>
                                                                                <w:bottom w:val="none" w:sz="0" w:space="0" w:color="auto"/>
                                                                                <w:right w:val="none" w:sz="0" w:space="0" w:color="auto"/>
                                                                              </w:divBdr>
                                                                              <w:divsChild>
                                                                                <w:div w:id="1925382930">
                                                                                  <w:marLeft w:val="0"/>
                                                                                  <w:marRight w:val="0"/>
                                                                                  <w:marTop w:val="0"/>
                                                                                  <w:marBottom w:val="0"/>
                                                                                  <w:divBdr>
                                                                                    <w:top w:val="none" w:sz="0" w:space="0" w:color="auto"/>
                                                                                    <w:left w:val="none" w:sz="0" w:space="0" w:color="auto"/>
                                                                                    <w:bottom w:val="none" w:sz="0" w:space="0" w:color="auto"/>
                                                                                    <w:right w:val="none" w:sz="0" w:space="0" w:color="auto"/>
                                                                                  </w:divBdr>
                                                                                  <w:divsChild>
                                                                                    <w:div w:id="1343241213">
                                                                                      <w:marLeft w:val="0"/>
                                                                                      <w:marRight w:val="0"/>
                                                                                      <w:marTop w:val="0"/>
                                                                                      <w:marBottom w:val="0"/>
                                                                                      <w:divBdr>
                                                                                        <w:top w:val="none" w:sz="0" w:space="0" w:color="auto"/>
                                                                                        <w:left w:val="none" w:sz="0" w:space="0" w:color="auto"/>
                                                                                        <w:bottom w:val="none" w:sz="0" w:space="0" w:color="auto"/>
                                                                                        <w:right w:val="none" w:sz="0" w:space="0" w:color="auto"/>
                                                                                      </w:divBdr>
                                                                                      <w:divsChild>
                                                                                        <w:div w:id="890308290">
                                                                                          <w:marLeft w:val="0"/>
                                                                                          <w:marRight w:val="0"/>
                                                                                          <w:marTop w:val="0"/>
                                                                                          <w:marBottom w:val="0"/>
                                                                                          <w:divBdr>
                                                                                            <w:top w:val="none" w:sz="0" w:space="0" w:color="auto"/>
                                                                                            <w:left w:val="none" w:sz="0" w:space="0" w:color="auto"/>
                                                                                            <w:bottom w:val="none" w:sz="0" w:space="0" w:color="auto"/>
                                                                                            <w:right w:val="none" w:sz="0" w:space="0" w:color="auto"/>
                                                                                          </w:divBdr>
                                                                                          <w:divsChild>
                                                                                            <w:div w:id="109263006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1400012">
                                                                                                  <w:marLeft w:val="0"/>
                                                                                                  <w:marRight w:val="0"/>
                                                                                                  <w:marTop w:val="0"/>
                                                                                                  <w:marBottom w:val="0"/>
                                                                                                  <w:divBdr>
                                                                                                    <w:top w:val="none" w:sz="0" w:space="0" w:color="auto"/>
                                                                                                    <w:left w:val="none" w:sz="0" w:space="0" w:color="auto"/>
                                                                                                    <w:bottom w:val="none" w:sz="0" w:space="0" w:color="auto"/>
                                                                                                    <w:right w:val="none" w:sz="0" w:space="0" w:color="auto"/>
                                                                                                  </w:divBdr>
                                                                                                  <w:divsChild>
                                                                                                    <w:div w:id="341779305">
                                                                                                      <w:marLeft w:val="0"/>
                                                                                                      <w:marRight w:val="0"/>
                                                                                                      <w:marTop w:val="0"/>
                                                                                                      <w:marBottom w:val="0"/>
                                                                                                      <w:divBdr>
                                                                                                        <w:top w:val="none" w:sz="0" w:space="0" w:color="auto"/>
                                                                                                        <w:left w:val="none" w:sz="0" w:space="0" w:color="auto"/>
                                                                                                        <w:bottom w:val="none" w:sz="0" w:space="0" w:color="auto"/>
                                                                                                        <w:right w:val="none" w:sz="0" w:space="0" w:color="auto"/>
                                                                                                      </w:divBdr>
                                                                                                      <w:divsChild>
                                                                                                        <w:div w:id="2103261579">
                                                                                                          <w:marLeft w:val="0"/>
                                                                                                          <w:marRight w:val="0"/>
                                                                                                          <w:marTop w:val="0"/>
                                                                                                          <w:marBottom w:val="0"/>
                                                                                                          <w:divBdr>
                                                                                                            <w:top w:val="none" w:sz="0" w:space="0" w:color="auto"/>
                                                                                                            <w:left w:val="none" w:sz="0" w:space="0" w:color="auto"/>
                                                                                                            <w:bottom w:val="none" w:sz="0" w:space="0" w:color="auto"/>
                                                                                                            <w:right w:val="none" w:sz="0" w:space="0" w:color="auto"/>
                                                                                                          </w:divBdr>
                                                                                                          <w:divsChild>
                                                                                                            <w:div w:id="178155528">
                                                                                                              <w:marLeft w:val="0"/>
                                                                                                              <w:marRight w:val="0"/>
                                                                                                              <w:marTop w:val="0"/>
                                                                                                              <w:marBottom w:val="0"/>
                                                                                                              <w:divBdr>
                                                                                                                <w:top w:val="none" w:sz="0" w:space="0" w:color="auto"/>
                                                                                                                <w:left w:val="none" w:sz="0" w:space="0" w:color="auto"/>
                                                                                                                <w:bottom w:val="none" w:sz="0" w:space="0" w:color="auto"/>
                                                                                                                <w:right w:val="none" w:sz="0" w:space="0" w:color="auto"/>
                                                                                                              </w:divBdr>
                                                                                                              <w:divsChild>
                                                                                                                <w:div w:id="1919166757">
                                                                                                                  <w:marLeft w:val="0"/>
                                                                                                                  <w:marRight w:val="0"/>
                                                                                                                  <w:marTop w:val="0"/>
                                                                                                                  <w:marBottom w:val="0"/>
                                                                                                                  <w:divBdr>
                                                                                                                    <w:top w:val="single" w:sz="2" w:space="4" w:color="D8D8D8"/>
                                                                                                                    <w:left w:val="single" w:sz="2" w:space="0" w:color="D8D8D8"/>
                                                                                                                    <w:bottom w:val="single" w:sz="2" w:space="4" w:color="D8D8D8"/>
                                                                                                                    <w:right w:val="single" w:sz="2" w:space="0" w:color="D8D8D8"/>
                                                                                                                  </w:divBdr>
                                                                                                                  <w:divsChild>
                                                                                                                    <w:div w:id="1155295315">
                                                                                                                      <w:marLeft w:val="225"/>
                                                                                                                      <w:marRight w:val="225"/>
                                                                                                                      <w:marTop w:val="75"/>
                                                                                                                      <w:marBottom w:val="75"/>
                                                                                                                      <w:divBdr>
                                                                                                                        <w:top w:val="none" w:sz="0" w:space="0" w:color="auto"/>
                                                                                                                        <w:left w:val="none" w:sz="0" w:space="0" w:color="auto"/>
                                                                                                                        <w:bottom w:val="none" w:sz="0" w:space="0" w:color="auto"/>
                                                                                                                        <w:right w:val="none" w:sz="0" w:space="0" w:color="auto"/>
                                                                                                                      </w:divBdr>
                                                                                                                      <w:divsChild>
                                                                                                                        <w:div w:id="236213419">
                                                                                                                          <w:marLeft w:val="0"/>
                                                                                                                          <w:marRight w:val="0"/>
                                                                                                                          <w:marTop w:val="0"/>
                                                                                                                          <w:marBottom w:val="0"/>
                                                                                                                          <w:divBdr>
                                                                                                                            <w:top w:val="single" w:sz="6" w:space="0" w:color="auto"/>
                                                                                                                            <w:left w:val="single" w:sz="6" w:space="0" w:color="auto"/>
                                                                                                                            <w:bottom w:val="single" w:sz="6" w:space="0" w:color="auto"/>
                                                                                                                            <w:right w:val="single" w:sz="6" w:space="0" w:color="auto"/>
                                                                                                                          </w:divBdr>
                                                                                                                          <w:divsChild>
                                                                                                                            <w:div w:id="1835603353">
                                                                                                                              <w:marLeft w:val="0"/>
                                                                                                                              <w:marRight w:val="0"/>
                                                                                                                              <w:marTop w:val="0"/>
                                                                                                                              <w:marBottom w:val="0"/>
                                                                                                                              <w:divBdr>
                                                                                                                                <w:top w:val="none" w:sz="0" w:space="0" w:color="auto"/>
                                                                                                                                <w:left w:val="none" w:sz="0" w:space="0" w:color="auto"/>
                                                                                                                                <w:bottom w:val="none" w:sz="0" w:space="0" w:color="auto"/>
                                                                                                                                <w:right w:val="none" w:sz="0" w:space="0" w:color="auto"/>
                                                                                                                              </w:divBdr>
                                                                                                                              <w:divsChild>
                                                                                                                                <w:div w:id="10636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EA47D-77E3-46A1-B831-C3742568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Biggerstaff, Brad J. (CDC/OID/NCEZID)</dc:creator>
  <cp:keywords/>
  <dc:description/>
  <cp:lastModifiedBy>Calvert, Amanda E. (CDC/OID/NCEZID)</cp:lastModifiedBy>
  <cp:revision>6</cp:revision>
  <dcterms:created xsi:type="dcterms:W3CDTF">2017-08-22T20:19:00Z</dcterms:created>
  <dcterms:modified xsi:type="dcterms:W3CDTF">2017-09-15T16:47:00Z</dcterms:modified>
</cp:coreProperties>
</file>