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0F" w:rsidRPr="00D0300F" w:rsidRDefault="009E72BB" w:rsidP="00D0300F">
      <w:pPr>
        <w:keepNext/>
        <w:keepLines/>
        <w:spacing w:before="40" w:after="0" w:line="240" w:lineRule="auto"/>
        <w:outlineLvl w:val="1"/>
        <w:rPr>
          <w:rFonts w:ascii="Calibri Light" w:eastAsia="Yu Gothic Light" w:hAnsi="Calibri Light" w:cs="Times New Roman"/>
          <w:color w:val="000000" w:themeColor="text1"/>
          <w:sz w:val="32"/>
          <w:szCs w:val="32"/>
          <w:lang w:val="en-US"/>
        </w:rPr>
      </w:pPr>
      <w:r>
        <w:rPr>
          <w:rFonts w:ascii="Calibri Light" w:eastAsia="Yu Gothic Light" w:hAnsi="Calibri Light" w:cs="Times New Roman"/>
          <w:color w:val="000000" w:themeColor="text1"/>
          <w:sz w:val="32"/>
          <w:szCs w:val="32"/>
          <w:lang w:val="en-US"/>
        </w:rPr>
        <w:t>S3 Fig</w:t>
      </w:r>
      <w:bookmarkStart w:id="0" w:name="_GoBack"/>
      <w:bookmarkEnd w:id="0"/>
      <w:r w:rsidR="00D0300F" w:rsidRPr="00D0300F">
        <w:rPr>
          <w:rFonts w:ascii="Calibri Light" w:eastAsia="Yu Gothic Light" w:hAnsi="Calibri Light" w:cs="Times New Roman"/>
          <w:color w:val="000000" w:themeColor="text1"/>
          <w:sz w:val="32"/>
          <w:szCs w:val="32"/>
          <w:lang w:val="en-US"/>
        </w:rPr>
        <w:t>: Biological processes of the identified genes</w:t>
      </w:r>
    </w:p>
    <w:p w:rsidR="00D0300F" w:rsidRPr="00D0300F" w:rsidRDefault="00D0300F" w:rsidP="00D0300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</w:pPr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t xml:space="preserve"> A- We analyzed the inferred list of genes identified from the guided assembly of</w:t>
      </w:r>
      <w:r w:rsidRPr="00D0300F">
        <w:rPr>
          <w:rFonts w:ascii="Arial" w:eastAsia="Times New Roman" w:hAnsi="Arial" w:cs="Arial"/>
          <w:i/>
          <w:iCs/>
          <w:color w:val="000000" w:themeColor="text1"/>
          <w:lang w:val="en-US" w:eastAsia="fr-FR"/>
        </w:rPr>
        <w:t xml:space="preserve"> P. </w:t>
      </w:r>
      <w:proofErr w:type="spellStart"/>
      <w:r w:rsidRPr="00D0300F">
        <w:rPr>
          <w:rFonts w:ascii="Arial" w:eastAsia="Times New Roman" w:hAnsi="Arial" w:cs="Arial"/>
          <w:i/>
          <w:iCs/>
          <w:color w:val="000000" w:themeColor="text1"/>
          <w:lang w:val="en-US" w:eastAsia="fr-FR"/>
        </w:rPr>
        <w:t>toxostoma</w:t>
      </w:r>
      <w:proofErr w:type="spellEnd"/>
      <w:r w:rsidRPr="00D0300F">
        <w:rPr>
          <w:rFonts w:ascii="Arial" w:eastAsia="Times New Roman" w:hAnsi="Arial" w:cs="Arial"/>
          <w:i/>
          <w:iCs/>
          <w:color w:val="000000" w:themeColor="text1"/>
          <w:lang w:val="en-US" w:eastAsia="fr-FR"/>
        </w:rPr>
        <w:t xml:space="preserve"> </w:t>
      </w:r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t xml:space="preserve">using Panther version 10 </w:t>
      </w:r>
      <w:hyperlink r:id="rId4" w:history="1">
        <w:r w:rsidRPr="00D0300F">
          <w:rPr>
            <w:rFonts w:ascii="Arial" w:eastAsia="Yu Gothic Light" w:hAnsi="Arial" w:cs="Arial"/>
            <w:color w:val="000000" w:themeColor="text1"/>
            <w:lang w:val="en-US" w:eastAsia="fr-FR"/>
          </w:rPr>
          <w:t>[48]</w:t>
        </w:r>
      </w:hyperlink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t xml:space="preserve">. We found 24,241 assignments to GO biological processes categories (a gene </w:t>
      </w:r>
      <w:proofErr w:type="gramStart"/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t>may be assigned</w:t>
      </w:r>
      <w:proofErr w:type="gramEnd"/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t xml:space="preserve"> to multiple biological processes), 12,188 assignments to GO molecular function categories and 9,355 to GO cellular component categories. When comparing these results with the 31,953 genes from </w:t>
      </w:r>
      <w:r w:rsidRPr="00D0300F">
        <w:rPr>
          <w:rFonts w:ascii="Arial" w:eastAsia="Times New Roman" w:hAnsi="Arial" w:cs="Arial"/>
          <w:i/>
          <w:iCs/>
          <w:color w:val="000000" w:themeColor="text1"/>
          <w:lang w:val="en-US" w:eastAsia="fr-FR"/>
        </w:rPr>
        <w:t xml:space="preserve">D. </w:t>
      </w:r>
      <w:proofErr w:type="spellStart"/>
      <w:r w:rsidRPr="00D0300F">
        <w:rPr>
          <w:rFonts w:ascii="Arial" w:eastAsia="Times New Roman" w:hAnsi="Arial" w:cs="Arial"/>
          <w:i/>
          <w:iCs/>
          <w:color w:val="000000" w:themeColor="text1"/>
          <w:lang w:val="en-US" w:eastAsia="fr-FR"/>
        </w:rPr>
        <w:t>rerio</w:t>
      </w:r>
      <w:proofErr w:type="spellEnd"/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t xml:space="preserve">, we found significant differences in the represented biological processes and molecular function categories (respectively </w:t>
      </w:r>
      <w:r w:rsidRPr="00D0300F">
        <w:rPr>
          <w:rFonts w:ascii="Arial" w:eastAsia="Times New Roman" w:hAnsi="Arial" w:cs="Arial"/>
          <w:i/>
          <w:iCs/>
          <w:color w:val="000000" w:themeColor="text1"/>
          <w:lang w:val="en-US" w:eastAsia="fr-FR"/>
        </w:rPr>
        <w:t>X</w:t>
      </w:r>
      <w:r w:rsidRPr="00D0300F">
        <w:rPr>
          <w:rFonts w:ascii="Arial" w:eastAsia="Times New Roman" w:hAnsi="Arial" w:cs="Arial"/>
          <w:i/>
          <w:iCs/>
          <w:color w:val="000000" w:themeColor="text1"/>
          <w:sz w:val="13"/>
          <w:szCs w:val="13"/>
          <w:vertAlign w:val="superscript"/>
          <w:lang w:val="en-US" w:eastAsia="fr-FR"/>
        </w:rPr>
        <w:t>2</w:t>
      </w:r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t>=81.13, P=1.75 10</w:t>
      </w:r>
      <w:r w:rsidRPr="00D0300F">
        <w:rPr>
          <w:rFonts w:ascii="Arial" w:eastAsia="Times New Roman" w:hAnsi="Arial" w:cs="Arial"/>
          <w:color w:val="000000" w:themeColor="text1"/>
          <w:sz w:val="13"/>
          <w:szCs w:val="13"/>
          <w:vertAlign w:val="superscript"/>
          <w:lang w:val="en-US" w:eastAsia="fr-FR"/>
        </w:rPr>
        <w:t>-11</w:t>
      </w:r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t xml:space="preserve"> and </w:t>
      </w:r>
      <w:r w:rsidRPr="00D0300F">
        <w:rPr>
          <w:rFonts w:ascii="Arial" w:eastAsia="Times New Roman" w:hAnsi="Arial" w:cs="Arial"/>
          <w:i/>
          <w:iCs/>
          <w:color w:val="000000" w:themeColor="text1"/>
          <w:lang w:val="en-US" w:eastAsia="fr-FR"/>
        </w:rPr>
        <w:t>X</w:t>
      </w:r>
      <w:r w:rsidRPr="00D0300F">
        <w:rPr>
          <w:rFonts w:ascii="Arial" w:eastAsia="Times New Roman" w:hAnsi="Arial" w:cs="Arial"/>
          <w:i/>
          <w:iCs/>
          <w:color w:val="000000" w:themeColor="text1"/>
          <w:sz w:val="13"/>
          <w:szCs w:val="13"/>
          <w:vertAlign w:val="superscript"/>
          <w:lang w:val="en-US" w:eastAsia="fr-FR"/>
        </w:rPr>
        <w:t>2</w:t>
      </w:r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t>=100.35, P=3.62 10</w:t>
      </w:r>
      <w:r w:rsidRPr="00D0300F">
        <w:rPr>
          <w:rFonts w:ascii="Arial" w:eastAsia="Times New Roman" w:hAnsi="Arial" w:cs="Arial"/>
          <w:color w:val="000000" w:themeColor="text1"/>
          <w:sz w:val="13"/>
          <w:szCs w:val="13"/>
          <w:vertAlign w:val="superscript"/>
          <w:lang w:val="en-US" w:eastAsia="fr-FR"/>
        </w:rPr>
        <w:t>-18</w:t>
      </w:r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t>.). Considering biological processes, the difference is due to the biological regulation category; for molecular function, it was due to receptor activity and signal transducer activity categories. Otherwise, the cellular component categories displayed no significant difference between the two species (</w:t>
      </w:r>
      <w:r w:rsidRPr="00D0300F">
        <w:rPr>
          <w:rFonts w:ascii="Arial" w:eastAsia="Times New Roman" w:hAnsi="Arial" w:cs="Arial"/>
          <w:i/>
          <w:iCs/>
          <w:color w:val="000000" w:themeColor="text1"/>
          <w:lang w:val="en-US" w:eastAsia="fr-FR"/>
        </w:rPr>
        <w:t>X</w:t>
      </w:r>
      <w:r w:rsidRPr="00D0300F">
        <w:rPr>
          <w:rFonts w:ascii="Arial" w:eastAsia="Times New Roman" w:hAnsi="Arial" w:cs="Arial"/>
          <w:i/>
          <w:iCs/>
          <w:color w:val="000000" w:themeColor="text1"/>
          <w:sz w:val="13"/>
          <w:szCs w:val="13"/>
          <w:vertAlign w:val="superscript"/>
          <w:lang w:val="en-US" w:eastAsia="fr-FR"/>
        </w:rPr>
        <w:t>2</w:t>
      </w:r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t>=10.31, P=0.17).</w:t>
      </w:r>
    </w:p>
    <w:p w:rsidR="00D0300F" w:rsidRPr="00D0300F" w:rsidRDefault="00D0300F" w:rsidP="00D0300F">
      <w:pPr>
        <w:rPr>
          <w:rFonts w:ascii="Calibri" w:eastAsia="Yu Mincho" w:hAnsi="Calibri" w:cs="Times New Roman"/>
          <w:color w:val="000000" w:themeColor="text1"/>
          <w:lang w:val="en-US"/>
        </w:rPr>
      </w:pPr>
    </w:p>
    <w:p w:rsidR="00D0300F" w:rsidRPr="00D0300F" w:rsidRDefault="00D0300F" w:rsidP="00D0300F">
      <w:pPr>
        <w:spacing w:line="360" w:lineRule="auto"/>
        <w:rPr>
          <w:rFonts w:ascii="Calibri" w:eastAsia="Yu Mincho" w:hAnsi="Calibri" w:cs="Times New Roman"/>
          <w:color w:val="000000" w:themeColor="text1"/>
          <w:shd w:val="clear" w:color="auto" w:fill="FFFFFF"/>
          <w:lang w:val="en-US"/>
        </w:rPr>
      </w:pPr>
      <w:r w:rsidRPr="00D0300F">
        <w:rPr>
          <w:rFonts w:ascii="Calibri" w:eastAsia="Yu Mincho" w:hAnsi="Calibri" w:cs="Times New Roman"/>
          <w:color w:val="000000" w:themeColor="text1"/>
          <w:shd w:val="clear" w:color="auto" w:fill="FFFFFF"/>
          <w:lang w:val="en-US"/>
        </w:rPr>
        <w:br w:type="page"/>
      </w:r>
    </w:p>
    <w:p w:rsidR="00D0300F" w:rsidRPr="00D0300F" w:rsidRDefault="00D0300F" w:rsidP="00D0300F">
      <w:pPr>
        <w:spacing w:line="360" w:lineRule="auto"/>
        <w:rPr>
          <w:rFonts w:ascii="Calibri" w:eastAsia="Yu Mincho" w:hAnsi="Calibri" w:cs="Times New Roman"/>
          <w:color w:val="000000" w:themeColor="text1"/>
          <w:shd w:val="clear" w:color="auto" w:fill="FFFFFF"/>
          <w:lang w:val="en-US"/>
        </w:rPr>
      </w:pPr>
      <w:r w:rsidRPr="00D0300F">
        <w:rPr>
          <w:rFonts w:ascii="Calibri" w:eastAsia="Yu Mincho" w:hAnsi="Calibri" w:cs="Times New Roman"/>
          <w:color w:val="000000" w:themeColor="text1"/>
          <w:shd w:val="clear" w:color="auto" w:fill="FFFFFF"/>
          <w:lang w:val="en-US"/>
        </w:rPr>
        <w:lastRenderedPageBreak/>
        <w:t xml:space="preserve">Repartition of biological processes for </w:t>
      </w:r>
      <w:r w:rsidRPr="00D0300F">
        <w:rPr>
          <w:rFonts w:ascii="Calibri" w:eastAsia="Yu Mincho" w:hAnsi="Calibri" w:cs="Times New Roman"/>
          <w:iCs/>
          <w:color w:val="000000" w:themeColor="text1"/>
          <w:shd w:val="clear" w:color="auto" w:fill="FFFFFF"/>
          <w:lang w:val="en-US"/>
        </w:rPr>
        <w:t>the guided assembly</w:t>
      </w:r>
      <w:r w:rsidRPr="00D0300F">
        <w:rPr>
          <w:rFonts w:ascii="Calibri" w:eastAsia="Yu Mincho" w:hAnsi="Calibri" w:cs="Times New Roman"/>
          <w:color w:val="000000" w:themeColor="text1"/>
          <w:shd w:val="clear" w:color="auto" w:fill="FFFFFF"/>
          <w:lang w:val="en-US"/>
        </w:rPr>
        <w:t xml:space="preserve"> describing the identified genes for the </w:t>
      </w:r>
      <w:r w:rsidRPr="00D0300F">
        <w:rPr>
          <w:rFonts w:ascii="Calibri" w:eastAsia="Yu Mincho" w:hAnsi="Calibri" w:cs="Times New Roman"/>
          <w:i/>
          <w:iCs/>
          <w:color w:val="000000" w:themeColor="text1"/>
          <w:shd w:val="clear" w:color="auto" w:fill="FFFFFF"/>
          <w:lang w:val="en-US"/>
        </w:rPr>
        <w:t xml:space="preserve">P. </w:t>
      </w:r>
      <w:proofErr w:type="spellStart"/>
      <w:r w:rsidRPr="00D0300F">
        <w:rPr>
          <w:rFonts w:ascii="Calibri" w:eastAsia="Yu Mincho" w:hAnsi="Calibri" w:cs="Times New Roman"/>
          <w:i/>
          <w:iCs/>
          <w:color w:val="000000" w:themeColor="text1"/>
          <w:shd w:val="clear" w:color="auto" w:fill="FFFFFF"/>
          <w:lang w:val="en-US"/>
        </w:rPr>
        <w:t>toxostoma</w:t>
      </w:r>
      <w:proofErr w:type="spellEnd"/>
      <w:r w:rsidRPr="00D0300F">
        <w:rPr>
          <w:rFonts w:ascii="Calibri" w:eastAsia="Yu Mincho" w:hAnsi="Calibri" w:cs="Times New Roman"/>
          <w:i/>
          <w:iCs/>
          <w:color w:val="000000" w:themeColor="text1"/>
          <w:shd w:val="clear" w:color="auto" w:fill="FFFFFF"/>
          <w:lang w:val="en-US"/>
        </w:rPr>
        <w:t xml:space="preserve"> </w:t>
      </w:r>
      <w:r w:rsidRPr="00D0300F">
        <w:rPr>
          <w:rFonts w:ascii="Calibri" w:eastAsia="Yu Mincho" w:hAnsi="Calibri" w:cs="Times New Roman"/>
          <w:color w:val="000000" w:themeColor="text1"/>
          <w:shd w:val="clear" w:color="auto" w:fill="FFFFFF"/>
          <w:lang w:val="en-US"/>
        </w:rPr>
        <w:t>assembly.</w:t>
      </w:r>
    </w:p>
    <w:p w:rsidR="00D0300F" w:rsidRPr="00D0300F" w:rsidRDefault="00D0300F" w:rsidP="00D0300F">
      <w:pPr>
        <w:rPr>
          <w:rFonts w:ascii="Calibri" w:eastAsia="Yu Mincho" w:hAnsi="Calibri" w:cs="Times New Roman"/>
          <w:color w:val="000000" w:themeColor="text1"/>
          <w:lang w:val="en-US"/>
        </w:rPr>
      </w:pPr>
    </w:p>
    <w:p w:rsidR="00D0300F" w:rsidRPr="00D0300F" w:rsidRDefault="00D0300F" w:rsidP="00D0300F">
      <w:pPr>
        <w:rPr>
          <w:rFonts w:ascii="Calibri" w:eastAsia="Yu Mincho" w:hAnsi="Calibri" w:cs="Times New Roman"/>
          <w:color w:val="000000" w:themeColor="text1"/>
          <w:lang w:val="en-US"/>
        </w:rPr>
      </w:pPr>
      <w:r w:rsidRPr="00D0300F">
        <w:rPr>
          <w:rFonts w:ascii="Calibri" w:eastAsia="Yu Mincho" w:hAnsi="Calibri" w:cs="Times New Roman"/>
          <w:noProof/>
          <w:color w:val="000000" w:themeColor="text1"/>
          <w:lang w:eastAsia="fr-FR"/>
        </w:rPr>
        <w:drawing>
          <wp:inline distT="0" distB="0" distL="0" distR="0" wp14:anchorId="06CBE2D9" wp14:editId="56CA5F32">
            <wp:extent cx="8892540" cy="4685588"/>
            <wp:effectExtent l="0" t="0" r="3810" b="127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0F" w:rsidRPr="00D0300F" w:rsidRDefault="00D0300F" w:rsidP="00D0300F">
      <w:pPr>
        <w:rPr>
          <w:rFonts w:ascii="Calibri" w:eastAsia="Yu Mincho" w:hAnsi="Calibri" w:cs="Times New Roman"/>
          <w:color w:val="000000" w:themeColor="text1"/>
          <w:lang w:val="en-US"/>
        </w:rPr>
      </w:pP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lastRenderedPageBreak/>
        <w:t>B- We analyzed the inferred list of genes identified from the guided assembly obtained for</w:t>
      </w:r>
      <w:r w:rsidRPr="00D0300F">
        <w:rPr>
          <w:rFonts w:ascii="Arial" w:eastAsia="Times New Roman" w:hAnsi="Arial" w:cs="Arial"/>
          <w:i/>
          <w:iCs/>
          <w:color w:val="000000" w:themeColor="text1"/>
          <w:lang w:val="en-US" w:eastAsia="fr-FR"/>
        </w:rPr>
        <w:t xml:space="preserve"> Q. </w:t>
      </w:r>
      <w:proofErr w:type="spellStart"/>
      <w:r w:rsidRPr="00D0300F">
        <w:rPr>
          <w:rFonts w:ascii="Arial" w:eastAsia="Times New Roman" w:hAnsi="Arial" w:cs="Arial"/>
          <w:i/>
          <w:iCs/>
          <w:color w:val="000000" w:themeColor="text1"/>
          <w:lang w:val="en-US" w:eastAsia="fr-FR"/>
        </w:rPr>
        <w:t>pubescens</w:t>
      </w:r>
      <w:proofErr w:type="spellEnd"/>
      <w:r w:rsidRPr="00D0300F">
        <w:rPr>
          <w:rFonts w:ascii="Arial" w:eastAsia="Times New Roman" w:hAnsi="Arial" w:cs="Arial"/>
          <w:i/>
          <w:iCs/>
          <w:color w:val="000000" w:themeColor="text1"/>
          <w:lang w:val="en-US" w:eastAsia="fr-FR"/>
        </w:rPr>
        <w:t xml:space="preserve"> </w:t>
      </w:r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t xml:space="preserve">using Panther version 10 </w:t>
      </w:r>
      <w:hyperlink r:id="rId6" w:history="1">
        <w:r w:rsidRPr="00D0300F">
          <w:rPr>
            <w:rFonts w:ascii="Arial" w:eastAsia="Yu Gothic Light" w:hAnsi="Arial" w:cs="Arial"/>
            <w:color w:val="000000" w:themeColor="text1"/>
            <w:lang w:val="en-US" w:eastAsia="fr-FR"/>
          </w:rPr>
          <w:t>[48]</w:t>
        </w:r>
      </w:hyperlink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t xml:space="preserve">. We found 13,776 assignments to GO biological processes categories (a gene </w:t>
      </w:r>
      <w:proofErr w:type="gramStart"/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t>may be assigned</w:t>
      </w:r>
      <w:proofErr w:type="gramEnd"/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t xml:space="preserve"> to multiple biological processes), 9,928 assignments to GO molecular function categories and 6,813 to GO cellular component categories. When comparing these results with the 29,971 genes from </w:t>
      </w:r>
      <w:r w:rsidRPr="00D0300F">
        <w:rPr>
          <w:rFonts w:ascii="Arial" w:eastAsia="Times New Roman" w:hAnsi="Arial" w:cs="Arial"/>
          <w:i/>
          <w:iCs/>
          <w:color w:val="000000" w:themeColor="text1"/>
          <w:lang w:val="en-US" w:eastAsia="fr-FR"/>
        </w:rPr>
        <w:t xml:space="preserve">V. </w:t>
      </w:r>
      <w:proofErr w:type="spellStart"/>
      <w:r w:rsidRPr="00D0300F">
        <w:rPr>
          <w:rFonts w:ascii="Arial" w:eastAsia="Times New Roman" w:hAnsi="Arial" w:cs="Arial"/>
          <w:i/>
          <w:iCs/>
          <w:color w:val="000000" w:themeColor="text1"/>
          <w:lang w:val="en-US" w:eastAsia="fr-FR"/>
        </w:rPr>
        <w:t>vinifera</w:t>
      </w:r>
      <w:proofErr w:type="spellEnd"/>
      <w:r w:rsidRPr="00D0300F">
        <w:rPr>
          <w:rFonts w:ascii="Arial" w:eastAsia="Times New Roman" w:hAnsi="Arial" w:cs="Arial"/>
          <w:color w:val="000000" w:themeColor="text1"/>
          <w:lang w:val="en-US" w:eastAsia="fr-FR"/>
        </w:rPr>
        <w:t xml:space="preserve">, we found no significant differences in enrichment sets between the two species (&gt;0.01). </w:t>
      </w: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D0300F" w:rsidRPr="00D0300F" w:rsidRDefault="00D0300F" w:rsidP="00D0300F">
      <w:pPr>
        <w:spacing w:line="360" w:lineRule="auto"/>
        <w:rPr>
          <w:rFonts w:ascii="Calibri" w:eastAsia="Yu Mincho" w:hAnsi="Calibri" w:cs="Times New Roman"/>
          <w:color w:val="000000" w:themeColor="text1"/>
          <w:shd w:val="clear" w:color="auto" w:fill="FFFFFF"/>
          <w:lang w:val="en-US"/>
        </w:rPr>
      </w:pPr>
      <w:r w:rsidRPr="00D0300F">
        <w:rPr>
          <w:rFonts w:ascii="Calibri" w:eastAsia="Yu Mincho" w:hAnsi="Calibri" w:cs="Times New Roman"/>
          <w:color w:val="000000" w:themeColor="text1"/>
          <w:shd w:val="clear" w:color="auto" w:fill="FFFFFF"/>
          <w:lang w:val="en-US"/>
        </w:rPr>
        <w:lastRenderedPageBreak/>
        <w:t xml:space="preserve">Repartition of biological processes for </w:t>
      </w:r>
      <w:r w:rsidRPr="00D0300F">
        <w:rPr>
          <w:rFonts w:ascii="Calibri" w:eastAsia="Yu Mincho" w:hAnsi="Calibri" w:cs="Times New Roman"/>
          <w:iCs/>
          <w:color w:val="000000" w:themeColor="text1"/>
          <w:shd w:val="clear" w:color="auto" w:fill="FFFFFF"/>
          <w:lang w:val="en-US"/>
        </w:rPr>
        <w:t>the guided assembly</w:t>
      </w:r>
      <w:r w:rsidRPr="00D0300F">
        <w:rPr>
          <w:rFonts w:ascii="Calibri" w:eastAsia="Yu Mincho" w:hAnsi="Calibri" w:cs="Times New Roman"/>
          <w:color w:val="000000" w:themeColor="text1"/>
          <w:shd w:val="clear" w:color="auto" w:fill="FFFFFF"/>
          <w:lang w:val="en-US"/>
        </w:rPr>
        <w:t xml:space="preserve"> describing the identified genes for the </w:t>
      </w:r>
      <w:r w:rsidRPr="00D0300F">
        <w:rPr>
          <w:rFonts w:ascii="Calibri" w:eastAsia="Yu Mincho" w:hAnsi="Calibri" w:cs="Times New Roman"/>
          <w:i/>
          <w:iCs/>
          <w:color w:val="000000" w:themeColor="text1"/>
          <w:shd w:val="clear" w:color="auto" w:fill="FFFFFF"/>
          <w:lang w:val="en-US"/>
        </w:rPr>
        <w:t xml:space="preserve">Q. </w:t>
      </w:r>
      <w:proofErr w:type="spellStart"/>
      <w:r w:rsidRPr="00D0300F">
        <w:rPr>
          <w:rFonts w:ascii="Calibri" w:eastAsia="Yu Mincho" w:hAnsi="Calibri" w:cs="Times New Roman"/>
          <w:i/>
          <w:iCs/>
          <w:color w:val="000000" w:themeColor="text1"/>
          <w:shd w:val="clear" w:color="auto" w:fill="FFFFFF"/>
          <w:lang w:val="en-US"/>
        </w:rPr>
        <w:t>pubescens</w:t>
      </w:r>
      <w:proofErr w:type="spellEnd"/>
      <w:r w:rsidRPr="00D0300F">
        <w:rPr>
          <w:rFonts w:ascii="Calibri" w:eastAsia="Yu Mincho" w:hAnsi="Calibri" w:cs="Times New Roman"/>
          <w:i/>
          <w:iCs/>
          <w:color w:val="000000" w:themeColor="text1"/>
          <w:shd w:val="clear" w:color="auto" w:fill="FFFFFF"/>
          <w:lang w:val="en-US"/>
        </w:rPr>
        <w:t xml:space="preserve"> </w:t>
      </w:r>
      <w:r w:rsidRPr="00D0300F">
        <w:rPr>
          <w:rFonts w:ascii="Calibri" w:eastAsia="Yu Mincho" w:hAnsi="Calibri" w:cs="Times New Roman"/>
          <w:color w:val="000000" w:themeColor="text1"/>
          <w:shd w:val="clear" w:color="auto" w:fill="FFFFFF"/>
          <w:lang w:val="en-US"/>
        </w:rPr>
        <w:t>assembly.</w:t>
      </w: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  <w:r w:rsidRPr="00D030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2CB2DC21" wp14:editId="64B3A518">
            <wp:extent cx="8890000" cy="4246880"/>
            <wp:effectExtent l="0" t="0" r="0" b="0"/>
            <wp:docPr id="12" name="Image 12" descr="Macintosh HD:Users:andre:Desktop:Capture d’écran 2017-04-05 à 11.34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:Desktop:Capture d’écran 2017-04-05 à 11.34.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0" cy="42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D0300F" w:rsidRPr="00D0300F" w:rsidRDefault="00D0300F" w:rsidP="00D0300F">
      <w:pPr>
        <w:spacing w:after="0" w:line="480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  <w:sectPr w:rsidR="00D0300F" w:rsidRPr="00D0300F" w:rsidSect="00552B1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3661E" w:rsidRPr="00D0300F" w:rsidRDefault="0053661E" w:rsidP="00D0300F">
      <w:pPr>
        <w:rPr>
          <w:color w:val="000000" w:themeColor="text1"/>
        </w:rPr>
      </w:pPr>
    </w:p>
    <w:sectPr w:rsidR="0053661E" w:rsidRPr="00D0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F"/>
    <w:rsid w:val="0053661E"/>
    <w:rsid w:val="009E72BB"/>
    <w:rsid w:val="00D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E7A5"/>
  <w15:chartTrackingRefBased/>
  <w15:docId w15:val="{46F45247-89C0-4146-AFF7-B82DB7AD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perpile.com/c/C9bxu5/CkQzd" TargetMode="External"/><Relationship Id="rId5" Type="http://schemas.openxmlformats.org/officeDocument/2006/relationships/image" Target="media/image1.emf"/><Relationship Id="rId4" Type="http://schemas.openxmlformats.org/officeDocument/2006/relationships/hyperlink" Target="https://paperpile.com/c/C9bxu5/CkQz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MARTIN</dc:creator>
  <cp:keywords/>
  <dc:description/>
  <cp:lastModifiedBy>Jean-Francois MARTIN</cp:lastModifiedBy>
  <cp:revision>2</cp:revision>
  <dcterms:created xsi:type="dcterms:W3CDTF">2017-09-08T05:46:00Z</dcterms:created>
  <dcterms:modified xsi:type="dcterms:W3CDTF">2017-09-09T12:57:00Z</dcterms:modified>
</cp:coreProperties>
</file>