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E8" w:rsidRDefault="001B18E8" w:rsidP="001B18E8">
      <w:pPr>
        <w:jc w:val="both"/>
        <w:rPr>
          <w:lang w:val="en-US"/>
        </w:rPr>
      </w:pPr>
      <w:r>
        <w:rPr>
          <w:b/>
          <w:lang w:val="en-US"/>
        </w:rPr>
        <w:t xml:space="preserve">S1Table. </w:t>
      </w:r>
      <w:r>
        <w:rPr>
          <w:lang w:val="en-US"/>
        </w:rPr>
        <w:t>Pollinator species of each agricultural crop analyzed. Each crop presents different dependence for animal pollination (</w:t>
      </w:r>
      <w:proofErr w:type="spellStart"/>
      <w:r>
        <w:rPr>
          <w:lang w:val="en-US"/>
        </w:rPr>
        <w:t>Giannini</w:t>
      </w:r>
      <w:proofErr w:type="spellEnd"/>
      <w:r>
        <w:rPr>
          <w:lang w:val="en-US"/>
        </w:rPr>
        <w:t xml:space="preserve"> et al. 2015b). Pollinator species used here were previously considered as being effective, occasional or potential pollinators of each analyzed crop (</w:t>
      </w:r>
      <w:proofErr w:type="spellStart"/>
      <w:r>
        <w:rPr>
          <w:lang w:val="en-US"/>
        </w:rPr>
        <w:t>Giannini</w:t>
      </w:r>
      <w:proofErr w:type="spellEnd"/>
      <w:r>
        <w:rPr>
          <w:lang w:val="en-US"/>
        </w:rPr>
        <w:t xml:space="preserve"> et al. 2015a).</w:t>
      </w:r>
    </w:p>
    <w:p w:rsidR="001B18E8" w:rsidRDefault="001B18E8" w:rsidP="001B18E8">
      <w:pPr>
        <w:spacing w:before="120" w:after="0" w:line="320" w:lineRule="exact"/>
        <w:rPr>
          <w:lang w:val="en-US"/>
        </w:rPr>
      </w:pPr>
    </w:p>
    <w:tbl>
      <w:tblPr>
        <w:tblStyle w:val="TableGrid"/>
        <w:tblW w:w="850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773"/>
        <w:gridCol w:w="6731"/>
      </w:tblGrid>
      <w:tr w:rsidR="001B18E8" w:rsidTr="004E673F">
        <w:trPr>
          <w:cantSplit/>
          <w:trHeight w:val="283"/>
          <w:tblHeader/>
        </w:trPr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Crop</w:t>
            </w:r>
          </w:p>
        </w:tc>
        <w:tc>
          <w:tcPr>
            <w:tcW w:w="6730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Pollinator</w:t>
            </w:r>
          </w:p>
        </w:tc>
      </w:tr>
      <w:tr w:rsidR="001B18E8" w:rsidRPr="001B18E8" w:rsidTr="004E673F">
        <w:trPr>
          <w:cantSplit/>
          <w:trHeight w:val="283"/>
        </w:trPr>
        <w:tc>
          <w:tcPr>
            <w:tcW w:w="850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spacing w:after="0" w:line="240" w:lineRule="auto"/>
              <w:jc w:val="both"/>
              <w:rPr>
                <w:i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ESSENTIAL DEPENDENCE FOR ANIMAL POLLINATION</w:t>
            </w:r>
          </w:p>
        </w:tc>
      </w:tr>
      <w:tr w:rsidR="001B18E8" w:rsidTr="004E673F">
        <w:trPr>
          <w:cantSplit/>
          <w:trHeight w:val="283"/>
        </w:trPr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Annatto </w:t>
            </w:r>
            <w:r>
              <w:rPr>
                <w:i/>
                <w:sz w:val="16"/>
                <w:szCs w:val="16"/>
              </w:rPr>
              <w:t>(Bixa orellana)</w:t>
            </w:r>
          </w:p>
          <w:p w:rsidR="001B18E8" w:rsidRDefault="001B18E8" w:rsidP="004E673F">
            <w:pPr>
              <w:pStyle w:val="Default"/>
              <w:rPr>
                <w:b/>
                <w:sz w:val="16"/>
                <w:szCs w:val="16"/>
              </w:rPr>
            </w:pPr>
          </w:p>
        </w:tc>
        <w:tc>
          <w:tcPr>
            <w:tcW w:w="6730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Bombus morio; Bombus transversalis; Centris aenea; Centris obsoleta; Cephalotrigona capitata; Epicharis affinis; Epicharis flava; Epicharis rustica; Eulaema cingulata; Eulaema meriana; Eulaema nigrita; Exomalopsis analis; Exomalopsis auropilosa; Melipona fasciculata; Melipona melanoventer; Melipona quadrifasciata; Melipona subnitida; Oxaea lavescens; Schwarziana quadripunctata; Tetragonisca angustula; Trigona spinipes; Xylocopa aurulenta; Xylocopa frontalis; Xylocopa grisescens; Xylocopa muscaria</w:t>
            </w:r>
          </w:p>
        </w:tc>
      </w:tr>
      <w:tr w:rsidR="001B18E8" w:rsidTr="004E673F">
        <w:trPr>
          <w:cantSplit/>
          <w:trHeight w:val="283"/>
        </w:trPr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Acerola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i/>
                <w:iCs/>
                <w:sz w:val="16"/>
                <w:szCs w:val="16"/>
              </w:rPr>
              <w:t>Malpighia emarginata, M. glabra)</w:t>
            </w:r>
          </w:p>
        </w:tc>
        <w:tc>
          <w:tcPr>
            <w:tcW w:w="6730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Centris aenea; Centris caxiensis; Centris denudans; Centris flavifrons; Centris fuscata; Centris longimana; Centris maranhensis; Centris mocsaryi; Centris nitens; Centris obsoleta; Centris rhodoprocta; Centris scopipes; Centris spilopoda; Centris sponsa; Centris tarsata; Centris trigonoides; Centris varia; Centris vittata; Epicharis affinis; Epicharis albofasciata; Epicharis analis; Epicharis bicolor; Epicharis cockerelli; Epicharis flava; Epicharis xanthogastra; Melipona quadrifasciata; Nannotrigona testaceicornis; Partamona cupira; Tetragonisca angustula; Trigona spinipes</w:t>
            </w:r>
          </w:p>
        </w:tc>
      </w:tr>
      <w:tr w:rsidR="001B18E8" w:rsidTr="004E673F">
        <w:trPr>
          <w:cantSplit/>
          <w:trHeight w:val="283"/>
        </w:trPr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Passionfruit </w:t>
            </w: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Passiflora edulis, P. alata)</w:t>
            </w:r>
          </w:p>
        </w:tc>
        <w:tc>
          <w:tcPr>
            <w:tcW w:w="6730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Acanthopus excellens; Bombus morio; Bombus pauloensis; Centris denudans; Centris flavifrons; Centris longimana; Centris lutea; Centris scopipes; Centris sponsa; Epicharis analis; Epicharis bicolor; Epicharis fasciata; Epicharis flava; Epicharis nigrita; Eufriesea surinamensis; Eulaema bombiformis; Eulaema cingulata; Exaerete smaragdina; Oxaea austera; Oxaea flavescens; Oxaea flavescens ; Xylocopa brasilianorum; Xylocopa cearenses; Xylocopa frontalis; Xylocopa grisescens; Xylocopa hirsutíssima; Xylocopa nigrocincta; Xylocopa ordinaria; Xylocopa suspecta</w:t>
            </w:r>
          </w:p>
        </w:tc>
      </w:tr>
      <w:tr w:rsidR="001B18E8" w:rsidRPr="001B18E8" w:rsidTr="004E673F">
        <w:trPr>
          <w:cantSplit/>
          <w:trHeight w:val="283"/>
        </w:trPr>
        <w:tc>
          <w:tcPr>
            <w:tcW w:w="850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pStyle w:val="Defaul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GREAT DEPENDENCE FOR ANIMAL POLLINATION</w:t>
            </w:r>
          </w:p>
        </w:tc>
      </w:tr>
      <w:tr w:rsidR="001B18E8" w:rsidTr="004E673F">
        <w:trPr>
          <w:cantSplit/>
          <w:trHeight w:val="283"/>
        </w:trPr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pStyle w:val="Default"/>
              <w:rPr>
                <w:i/>
                <w:iCs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Avocado</w:t>
            </w:r>
            <w:r>
              <w:rPr>
                <w:color w:val="00000A"/>
                <w:sz w:val="16"/>
                <w:szCs w:val="16"/>
              </w:rPr>
              <w:t xml:space="preserve"> (</w:t>
            </w:r>
            <w:r>
              <w:rPr>
                <w:i/>
                <w:iCs/>
                <w:color w:val="00000A"/>
                <w:sz w:val="16"/>
                <w:szCs w:val="16"/>
              </w:rPr>
              <w:t>Persea americana)</w:t>
            </w:r>
          </w:p>
        </w:tc>
        <w:tc>
          <w:tcPr>
            <w:tcW w:w="6730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Frieseomelitta doederleini; Melipona scutellaris; Nannotrigona punctata; Partamona helleri; Tetragonisca angustula; Trigona spinipes</w:t>
            </w:r>
          </w:p>
        </w:tc>
      </w:tr>
      <w:tr w:rsidR="001B18E8" w:rsidTr="004E673F">
        <w:trPr>
          <w:cantSplit/>
          <w:trHeight w:val="283"/>
        </w:trPr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pStyle w:val="Default"/>
              <w:rPr>
                <w:i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Guava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Psidium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guajava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6730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Augochlora esox; Augochloropsis patens; Bombus morio; Centris aenea; Centris inermis; Centris rhodoprocta;Centris tarsata; Centris varia; Epicharis flava; Eulaema nigrita; Exomalopsis auropilosa; Melipona mandacaia; Melipona quadrifasciata; Melipona scutellaris; Melipona subnitida; Nannotrigona punctata; Nannotrigona testaceicornis; Oxaea flavescens; Partamona cupira; Partamona seridoenses; Tetragonisca angustula; Trigona hyalinata; Trigona spinipes; Xylocopa cearenses; Xylocopa frontalis; Xylocopa grisescens</w:t>
            </w:r>
          </w:p>
        </w:tc>
      </w:tr>
      <w:tr w:rsidR="001B18E8" w:rsidTr="004E673F">
        <w:trPr>
          <w:cantSplit/>
          <w:trHeight w:val="283"/>
        </w:trPr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pStyle w:val="Default"/>
              <w:rPr>
                <w:i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Sunflower 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 xml:space="preserve">Helianthus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annuus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6730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Bombus morio; Frieseomelitta doederleini ; Melipona subnitida; Nannotrigona testaceicornis; Oxaea flavescens; Scaptotrigona bipunctata; Trigona hyalinata; Trigona spinipes; Xylocopa grisescens</w:t>
            </w:r>
          </w:p>
        </w:tc>
      </w:tr>
      <w:tr w:rsidR="001B18E8" w:rsidTr="004E673F">
        <w:trPr>
          <w:cantSplit/>
          <w:trHeight w:val="283"/>
        </w:trPr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pStyle w:val="Default"/>
              <w:rPr>
                <w:i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Tomato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Lycopersicon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n-US"/>
              </w:rPr>
              <w:t>esculentum</w:t>
            </w:r>
            <w:proofErr w:type="spellEnd"/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6730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Bombus morio; Bombus pauloensis; Centris fuscata; Centris nitens; Centris similis; Centris tarsata; Exomalopsis analis; Exomalopsis auropilosa; Melipona fasciculata; Melipona quadrifasciata; Oxaea flavescens; Plebeia droryana; Pseudaugochlora gramínea; Tetragonisca angustula; Tetrapedia diversipes; Xylocopa muscaria</w:t>
            </w:r>
          </w:p>
        </w:tc>
      </w:tr>
      <w:tr w:rsidR="001B18E8" w:rsidRPr="001B18E8" w:rsidTr="004E673F">
        <w:trPr>
          <w:cantSplit/>
          <w:trHeight w:val="283"/>
        </w:trPr>
        <w:tc>
          <w:tcPr>
            <w:tcW w:w="850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pStyle w:val="Defaul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MODEST DEPENDENCE FOR ANIMAL POLLINATION</w:t>
            </w:r>
          </w:p>
        </w:tc>
      </w:tr>
      <w:tr w:rsidR="001B18E8" w:rsidTr="004E673F">
        <w:trPr>
          <w:cantSplit/>
          <w:trHeight w:val="283"/>
        </w:trPr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Coconut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i/>
                <w:iCs/>
                <w:sz w:val="16"/>
                <w:szCs w:val="16"/>
              </w:rPr>
              <w:t>Cocos nucifera)</w:t>
            </w:r>
          </w:p>
        </w:tc>
        <w:tc>
          <w:tcPr>
            <w:tcW w:w="6730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Plebeia poecilochroa; Trigona guianae; Trigona spinipes</w:t>
            </w:r>
          </w:p>
        </w:tc>
      </w:tr>
      <w:tr w:rsidR="001B18E8" w:rsidTr="004E673F">
        <w:trPr>
          <w:cantSplit/>
          <w:trHeight w:val="283"/>
        </w:trPr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pStyle w:val="Defaul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Cotton</w:t>
            </w:r>
            <w:r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Gossypium</w:t>
            </w:r>
            <w:proofErr w:type="spellEnd"/>
            <w:r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hirsutum</w:t>
            </w:r>
            <w:proofErr w:type="spellEnd"/>
            <w:r>
              <w:rPr>
                <w:i/>
                <w:iCs/>
                <w:sz w:val="16"/>
                <w:szCs w:val="16"/>
                <w:lang w:val="en-US"/>
              </w:rPr>
              <w:t xml:space="preserve">, G.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barbadense</w:t>
            </w:r>
            <w:proofErr w:type="spellEnd"/>
            <w:r>
              <w:rPr>
                <w:i/>
                <w:iCs/>
                <w:sz w:val="16"/>
                <w:szCs w:val="16"/>
                <w:lang w:val="en-US"/>
              </w:rPr>
              <w:t xml:space="preserve">, G.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arboreum</w:t>
            </w:r>
            <w:proofErr w:type="spellEnd"/>
            <w:r>
              <w:rPr>
                <w:i/>
                <w:iCs/>
                <w:sz w:val="16"/>
                <w:szCs w:val="16"/>
                <w:lang w:val="en-US"/>
              </w:rPr>
              <w:t xml:space="preserve">, G.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herbaceum</w:t>
            </w:r>
            <w:proofErr w:type="spellEnd"/>
            <w:r>
              <w:rPr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6730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Melissodes nigroaenea; Melissoptila cnecomala; Melissoptila uncicornis; Schwarziana quadripunctata; Xylocopa suspecta; Xylocopa grisescens</w:t>
            </w:r>
          </w:p>
        </w:tc>
      </w:tr>
      <w:tr w:rsidR="001B18E8" w:rsidTr="004E673F">
        <w:trPr>
          <w:cantSplit/>
          <w:trHeight w:val="283"/>
        </w:trPr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Coffee </w:t>
            </w:r>
            <w:r>
              <w:rPr>
                <w:i/>
                <w:iCs/>
                <w:sz w:val="16"/>
                <w:szCs w:val="16"/>
              </w:rPr>
              <w:t>(Coffea arabica, C. canephora, C. liberica)</w:t>
            </w:r>
          </w:p>
        </w:tc>
        <w:tc>
          <w:tcPr>
            <w:tcW w:w="6730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Epicharis flava; Frieseomelitta meadewaldoi; Melipona quadrifasciata; Tetragonisca angustula; Tetragonisca fiebrigi; Trigona amalthea; Trigona fulviventris</w:t>
            </w:r>
          </w:p>
        </w:tc>
      </w:tr>
      <w:tr w:rsidR="001B18E8" w:rsidRPr="001B18E8" w:rsidTr="004E673F">
        <w:trPr>
          <w:cantSplit/>
          <w:trHeight w:val="283"/>
        </w:trPr>
        <w:tc>
          <w:tcPr>
            <w:tcW w:w="850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spacing w:after="0" w:line="240" w:lineRule="auto"/>
              <w:jc w:val="both"/>
              <w:rPr>
                <w:i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LITTLE DEPENDENCE FOR ANIMAL POLLINATION</w:t>
            </w:r>
          </w:p>
        </w:tc>
      </w:tr>
      <w:tr w:rsidR="001B18E8" w:rsidTr="004E673F">
        <w:trPr>
          <w:cantSplit/>
          <w:trHeight w:val="283"/>
        </w:trPr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Bean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i/>
                <w:iCs/>
                <w:sz w:val="16"/>
                <w:szCs w:val="16"/>
              </w:rPr>
              <w:t>Phaseolus vulgaris)</w:t>
            </w:r>
          </w:p>
        </w:tc>
        <w:tc>
          <w:tcPr>
            <w:tcW w:w="6730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Bombus morio; Bombus pauloensis; Megachile aetheria; Megachile aureiventris; Megachile tenuitarsis; Thygater analis; Xylocopa augusti; Xylocopa bimaculata; Xylocopa frontalis; Xylocopa nigrocincta</w:t>
            </w:r>
          </w:p>
        </w:tc>
      </w:tr>
      <w:tr w:rsidR="001B18E8" w:rsidTr="004E673F">
        <w:trPr>
          <w:cantSplit/>
          <w:trHeight w:val="283"/>
        </w:trPr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Mandarin </w:t>
            </w:r>
            <w:r>
              <w:rPr>
                <w:i/>
                <w:sz w:val="16"/>
                <w:szCs w:val="16"/>
              </w:rPr>
              <w:t>(Citrus reticulata)</w:t>
            </w:r>
          </w:p>
        </w:tc>
        <w:tc>
          <w:tcPr>
            <w:tcW w:w="6730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Melipona scutellaris; Tetragonisca angustula; Trigona spinipes</w:t>
            </w:r>
          </w:p>
        </w:tc>
      </w:tr>
      <w:tr w:rsidR="001B18E8" w:rsidTr="004E673F">
        <w:trPr>
          <w:cantSplit/>
          <w:trHeight w:val="283"/>
        </w:trPr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pStyle w:val="Default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lastRenderedPageBreak/>
              <w:t>Persimmon</w:t>
            </w:r>
            <w:r>
              <w:rPr>
                <w:sz w:val="16"/>
                <w:szCs w:val="16"/>
                <w:lang w:val="en-US"/>
              </w:rPr>
              <w:t xml:space="preserve">  (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Cavanillea</w:t>
            </w:r>
            <w:proofErr w:type="spellEnd"/>
            <w:r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philippensis</w:t>
            </w:r>
            <w:proofErr w:type="spellEnd"/>
            <w:r>
              <w:rPr>
                <w:i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Diospyros</w:t>
            </w:r>
            <w:proofErr w:type="spellEnd"/>
            <w:r>
              <w:rPr>
                <w:i/>
                <w:iCs/>
                <w:sz w:val="16"/>
                <w:szCs w:val="16"/>
                <w:lang w:val="en-US"/>
              </w:rPr>
              <w:t xml:space="preserve"> kaki)</w:t>
            </w:r>
          </w:p>
        </w:tc>
        <w:tc>
          <w:tcPr>
            <w:tcW w:w="6730" w:type="dxa"/>
            <w:tcBorders>
              <w:left w:val="nil"/>
              <w:right w:val="nil"/>
            </w:tcBorders>
            <w:shd w:val="clear" w:color="auto" w:fill="auto"/>
          </w:tcPr>
          <w:p w:rsidR="001B18E8" w:rsidRDefault="001B18E8" w:rsidP="004E673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Centris fuscata; Euglossa securigera; Xylocopa grisescens</w:t>
            </w:r>
          </w:p>
          <w:p w:rsidR="001B18E8" w:rsidRDefault="001B18E8" w:rsidP="004E673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</w:tbl>
    <w:p w:rsidR="001B18E8" w:rsidRDefault="001B18E8" w:rsidP="001B18E8"/>
    <w:p w:rsidR="00012F76" w:rsidRDefault="00012F76">
      <w:bookmarkStart w:id="0" w:name="_GoBack"/>
      <w:bookmarkEnd w:id="0"/>
    </w:p>
    <w:sectPr w:rsidR="0001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E8"/>
    <w:rsid w:val="00012F76"/>
    <w:rsid w:val="001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AC1E7-5C81-4E7C-A809-EFFD9C36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8E8"/>
    <w:pPr>
      <w:spacing w:after="200" w:line="276" w:lineRule="auto"/>
    </w:pPr>
    <w:rPr>
      <w:rFonts w:ascii="Calibri" w:eastAsia="Calibri" w:hAnsi="Calibri"/>
      <w:color w:val="00000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1B18E8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t-BR"/>
    </w:rPr>
  </w:style>
  <w:style w:type="table" w:styleId="TableGrid">
    <w:name w:val="Table Grid"/>
    <w:basedOn w:val="TableNormal"/>
    <w:uiPriority w:val="39"/>
    <w:rsid w:val="001B18E8"/>
    <w:pPr>
      <w:spacing w:after="0" w:line="240" w:lineRule="auto"/>
    </w:pPr>
    <w:rPr>
      <w:sz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Cristina</dc:creator>
  <cp:keywords/>
  <dc:description/>
  <cp:lastModifiedBy>Tereza Cristina</cp:lastModifiedBy>
  <cp:revision>1</cp:revision>
  <dcterms:created xsi:type="dcterms:W3CDTF">2017-07-20T13:03:00Z</dcterms:created>
  <dcterms:modified xsi:type="dcterms:W3CDTF">2017-07-20T13:03:00Z</dcterms:modified>
</cp:coreProperties>
</file>