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7385" w14:textId="77777777" w:rsidR="00C903F1" w:rsidRDefault="00C903F1">
      <w:pPr>
        <w:rPr>
          <w:lang w:val="en-US"/>
        </w:rPr>
      </w:pPr>
    </w:p>
    <w:p w14:paraId="6B551EE4" w14:textId="77777777" w:rsidR="0057647C" w:rsidRPr="00C903F1" w:rsidRDefault="0057647C">
      <w:pPr>
        <w:rPr>
          <w:lang w:val="en-US"/>
        </w:rPr>
      </w:pPr>
    </w:p>
    <w:p w14:paraId="3C9E5875" w14:textId="50A9CE13" w:rsidR="00C903F1" w:rsidRPr="00C903F1" w:rsidRDefault="00C903F1" w:rsidP="00C903F1">
      <w:pPr>
        <w:spacing w:line="480" w:lineRule="auto"/>
        <w:jc w:val="both"/>
        <w:outlineLvl w:val="0"/>
        <w:rPr>
          <w:rFonts w:ascii="Arial" w:hAnsi="Arial" w:cs="Arial"/>
          <w:b/>
          <w:lang w:val="en-US"/>
        </w:rPr>
      </w:pPr>
      <w:r w:rsidRPr="00C903F1">
        <w:rPr>
          <w:rFonts w:ascii="Arial" w:hAnsi="Arial" w:cs="Arial"/>
          <w:b/>
          <w:lang w:val="en-US"/>
        </w:rPr>
        <w:t>Statistical analysis</w:t>
      </w:r>
      <w:r w:rsidR="0057647C">
        <w:rPr>
          <w:rFonts w:ascii="Arial" w:hAnsi="Arial" w:cs="Arial"/>
          <w:b/>
          <w:lang w:val="en-US"/>
        </w:rPr>
        <w:t xml:space="preserve"> – Supplemental information</w:t>
      </w:r>
    </w:p>
    <w:p w14:paraId="7A902408" w14:textId="6C6A7965" w:rsidR="00C903F1" w:rsidRPr="008F54C1" w:rsidRDefault="00C903F1" w:rsidP="00C903F1">
      <w:pPr>
        <w:spacing w:line="480" w:lineRule="auto"/>
        <w:jc w:val="both"/>
        <w:rPr>
          <w:rFonts w:ascii="Arial" w:hAnsi="Arial" w:cs="Arial"/>
          <w:color w:val="000000" w:themeColor="text1"/>
          <w:lang w:val="en-US"/>
        </w:rPr>
      </w:pPr>
      <w:r w:rsidRPr="00C903F1">
        <w:rPr>
          <w:rFonts w:ascii="Arial" w:hAnsi="Arial" w:cs="Arial"/>
          <w:lang w:val="en-US"/>
        </w:rPr>
        <w:t xml:space="preserve">The multivariable analysis was performed using logistic regression models.  To obtain a clinical model (model 1), all the variables with a p-value &lt;0.25 obtained in the univariable analysis and with clinical relevance, were considered. To compare bone parameters regarding their association with vascular calcifications measured by SVCS, four additional models were adjusted. In order to quantify the improvement resulting from adding BV/TV (Model 2), Md.V/TV (Model 3) and OV/BV (Model 4) to a clinical model (Model 1), continuous net reclassification improvement (NRI) and integrated discrimination improvement </w:t>
      </w:r>
      <w:r w:rsidRPr="00C903F1">
        <w:rPr>
          <w:rFonts w:ascii="Arial" w:hAnsi="Arial" w:cs="Arial"/>
          <w:color w:val="000000" w:themeColor="text1"/>
          <w:lang w:val="en-US"/>
        </w:rPr>
        <w:t>(IDI) measures were calculated</w:t>
      </w:r>
      <w:r w:rsidR="008F54C1">
        <w:rPr>
          <w:rFonts w:ascii="Arial" w:hAnsi="Arial" w:cs="Arial"/>
          <w:color w:val="000000" w:themeColor="text1"/>
          <w:lang w:val="en-US"/>
        </w:rPr>
        <w:t xml:space="preserve">. </w:t>
      </w:r>
      <w:r w:rsidR="00976FB9" w:rsidRPr="00A658DA">
        <w:rPr>
          <w:rFonts w:ascii="Arial" w:hAnsi="Arial" w:cs="Arial"/>
          <w:color w:val="000000" w:themeColor="text1"/>
          <w:lang w:val="en-US"/>
        </w:rPr>
        <w:t>Predictiveness curves were also calculated</w:t>
      </w:r>
      <w:r w:rsidR="008F54C1">
        <w:rPr>
          <w:rFonts w:ascii="Arial" w:hAnsi="Arial" w:cs="Arial"/>
          <w:color w:val="000000" w:themeColor="text1"/>
          <w:lang w:val="en-US"/>
        </w:rPr>
        <w:t xml:space="preserve"> [1]</w:t>
      </w:r>
      <w:r w:rsidR="00976FB9" w:rsidRPr="00A658DA">
        <w:rPr>
          <w:rFonts w:ascii="Arial" w:hAnsi="Arial" w:cs="Arial"/>
          <w:color w:val="000000" w:themeColor="text1"/>
          <w:lang w:val="en-US"/>
        </w:rPr>
        <w:t>.</w:t>
      </w:r>
    </w:p>
    <w:p w14:paraId="436BA6A4" w14:textId="77777777" w:rsidR="00C903F1" w:rsidRPr="00C903F1" w:rsidRDefault="00C903F1" w:rsidP="00C903F1">
      <w:pPr>
        <w:spacing w:line="480" w:lineRule="auto"/>
        <w:jc w:val="both"/>
        <w:rPr>
          <w:rFonts w:ascii="Arial" w:hAnsi="Arial" w:cs="Arial"/>
          <w:lang w:val="en-US"/>
        </w:rPr>
      </w:pPr>
      <w:r w:rsidRPr="00C903F1">
        <w:rPr>
          <w:rFonts w:ascii="Arial" w:hAnsi="Arial" w:cs="Arial"/>
          <w:lang w:val="en-US"/>
        </w:rPr>
        <w:t xml:space="preserve">These models were evaluated regarding: overall performance by using </w:t>
      </w:r>
      <w:proofErr w:type="spellStart"/>
      <w:r w:rsidRPr="00C903F1">
        <w:rPr>
          <w:rFonts w:ascii="Arial" w:hAnsi="Arial" w:cs="Arial"/>
          <w:lang w:val="en-US"/>
        </w:rPr>
        <w:t>Nagelkerke</w:t>
      </w:r>
      <w:proofErr w:type="spellEnd"/>
      <w:r w:rsidRPr="00C903F1">
        <w:rPr>
          <w:rFonts w:ascii="Arial" w:hAnsi="Arial" w:cs="Arial"/>
          <w:lang w:val="en-US"/>
        </w:rPr>
        <w:t xml:space="preserve"> R</w:t>
      </w:r>
      <w:r w:rsidRPr="00C903F1">
        <w:rPr>
          <w:rFonts w:ascii="Arial" w:hAnsi="Arial" w:cs="Arial"/>
          <w:vertAlign w:val="superscript"/>
          <w:lang w:val="en-US"/>
        </w:rPr>
        <w:t>2</w:t>
      </w:r>
      <w:r w:rsidRPr="00C903F1">
        <w:rPr>
          <w:rFonts w:ascii="Arial" w:hAnsi="Arial" w:cs="Arial"/>
          <w:lang w:val="en-US"/>
        </w:rPr>
        <w:t xml:space="preserve"> and Brier score, calibration assessed by the </w:t>
      </w:r>
      <w:proofErr w:type="spellStart"/>
      <w:r w:rsidRPr="00C903F1">
        <w:rPr>
          <w:rFonts w:ascii="Arial" w:hAnsi="Arial" w:cs="Arial"/>
          <w:lang w:val="en-US"/>
        </w:rPr>
        <w:t>Hosmer-Lemeshow</w:t>
      </w:r>
      <w:proofErr w:type="spellEnd"/>
      <w:r w:rsidRPr="00C903F1">
        <w:rPr>
          <w:rFonts w:ascii="Arial" w:hAnsi="Arial" w:cs="Arial"/>
          <w:lang w:val="en-US"/>
        </w:rPr>
        <w:t xml:space="preserve"> test, and discrimination by calculating the area under the receiver-operating characteristic curve (AUC).</w:t>
      </w:r>
    </w:p>
    <w:p w14:paraId="13E4C4A3" w14:textId="031DF7D4" w:rsidR="00C903F1" w:rsidRPr="00C903F1" w:rsidRDefault="00C903F1" w:rsidP="00C903F1">
      <w:pPr>
        <w:spacing w:line="480" w:lineRule="auto"/>
        <w:jc w:val="both"/>
        <w:rPr>
          <w:rFonts w:ascii="Arial" w:hAnsi="Arial" w:cs="Arial"/>
          <w:lang w:val="en-US"/>
        </w:rPr>
      </w:pPr>
      <w:r w:rsidRPr="00C903F1">
        <w:rPr>
          <w:rFonts w:ascii="Arial" w:hAnsi="Arial" w:cs="Arial"/>
          <w:lang w:val="en-US"/>
        </w:rPr>
        <w:t xml:space="preserve">Box-Tidwell transformation to test the assumption of linearity in the </w:t>
      </w:r>
      <w:proofErr w:type="spellStart"/>
      <w:r w:rsidRPr="00C903F1">
        <w:rPr>
          <w:rFonts w:ascii="Arial" w:hAnsi="Arial" w:cs="Arial"/>
          <w:lang w:val="en-US"/>
        </w:rPr>
        <w:t>logit</w:t>
      </w:r>
      <w:proofErr w:type="spellEnd"/>
      <w:r w:rsidRPr="00C903F1">
        <w:rPr>
          <w:rFonts w:ascii="Arial" w:hAnsi="Arial" w:cs="Arial"/>
          <w:lang w:val="en-US"/>
        </w:rPr>
        <w:t xml:space="preserve"> for continuous variables was used. </w:t>
      </w:r>
      <w:r w:rsidRPr="00C903F1">
        <w:rPr>
          <w:rFonts w:ascii="Arial" w:hAnsi="Arial" w:cs="Arial"/>
          <w:color w:val="000000" w:themeColor="text1"/>
          <w:lang w:val="en-US"/>
        </w:rPr>
        <w:t>Predictiveness curves were also calculated.</w:t>
      </w:r>
    </w:p>
    <w:p w14:paraId="4A5859A3" w14:textId="6B47EFC4" w:rsidR="00C903F1" w:rsidRDefault="00C903F1" w:rsidP="00C903F1">
      <w:pPr>
        <w:spacing w:line="480" w:lineRule="auto"/>
        <w:jc w:val="both"/>
        <w:rPr>
          <w:rFonts w:ascii="Arial" w:hAnsi="Arial" w:cs="Arial"/>
          <w:lang w:val="en-US"/>
        </w:rPr>
      </w:pPr>
      <w:r w:rsidRPr="00C903F1">
        <w:rPr>
          <w:rFonts w:ascii="Arial" w:hAnsi="Arial" w:cs="Arial"/>
          <w:color w:val="000000" w:themeColor="text1"/>
          <w:lang w:val="en-US"/>
        </w:rPr>
        <w:t xml:space="preserve"> </w:t>
      </w:r>
      <w:r w:rsidR="008F54C1">
        <w:rPr>
          <w:rFonts w:ascii="Arial" w:hAnsi="Arial" w:cs="Arial"/>
          <w:color w:val="000000" w:themeColor="text1"/>
          <w:lang w:val="en-US"/>
        </w:rPr>
        <w:t>[2,3]</w:t>
      </w:r>
      <w:r w:rsidRPr="00C903F1">
        <w:rPr>
          <w:rFonts w:ascii="Arial" w:hAnsi="Arial" w:cs="Arial"/>
          <w:color w:val="000000" w:themeColor="text1"/>
          <w:lang w:val="en-US"/>
        </w:rPr>
        <w:t>. The NRI quantifies the correctness of upward and downward movement of predicted probabilities as a result of adding a new marker to an existing baseline model. The IDI quantifies the magnitudes of changes in these probabilities.</w:t>
      </w:r>
      <w:r w:rsidR="00976FB9">
        <w:rPr>
          <w:rFonts w:ascii="Arial" w:hAnsi="Arial" w:cs="Arial"/>
          <w:color w:val="000000" w:themeColor="text1"/>
          <w:lang w:val="en-US"/>
        </w:rPr>
        <w:t xml:space="preserve"> Predictiveness</w:t>
      </w:r>
      <w:r w:rsidRPr="00C903F1">
        <w:rPr>
          <w:rFonts w:ascii="Arial" w:hAnsi="Arial" w:cs="Arial"/>
          <w:color w:val="000000" w:themeColor="text1"/>
          <w:lang w:val="en-US"/>
        </w:rPr>
        <w:t xml:space="preserve"> curves are graphical representations of the distribution of risk defined by the </w:t>
      </w:r>
      <w:r w:rsidRPr="00C903F1">
        <w:rPr>
          <w:rFonts w:ascii="Arial" w:hAnsi="Arial" w:cs="Arial"/>
          <w:lang w:val="en-US"/>
        </w:rPr>
        <w:t xml:space="preserve">following conditional probability: risk(y)=P[D=1|Y=y], where D denotes the binary outcome (in our case, SVCS ≥3) and Y=y is in our case the estimated probabilities of having a SVCS ≥3. The interpretation of this curve is straightforward: a marker that is useless assigns equal risk to all individuals, and </w:t>
      </w:r>
      <w:r w:rsidRPr="00C903F1">
        <w:rPr>
          <w:rFonts w:ascii="Arial" w:hAnsi="Arial" w:cs="Arial"/>
          <w:lang w:val="en-US"/>
        </w:rPr>
        <w:lastRenderedPageBreak/>
        <w:t xml:space="preserve">hence, the corresponding predictiveness curve is a horizontal line at the prevalence of the disease; however, a marker that is highly informative about risk yields a predictive curve that is close to a step function. </w:t>
      </w:r>
    </w:p>
    <w:p w14:paraId="41C62FEF" w14:textId="77777777" w:rsidR="00415A9F" w:rsidRDefault="00415A9F" w:rsidP="00C903F1">
      <w:pPr>
        <w:spacing w:line="480" w:lineRule="auto"/>
        <w:jc w:val="both"/>
        <w:rPr>
          <w:rFonts w:ascii="Arial" w:hAnsi="Arial" w:cs="Arial"/>
          <w:lang w:val="en-US"/>
        </w:rPr>
      </w:pPr>
    </w:p>
    <w:p w14:paraId="1A97BE2C" w14:textId="19DFF605" w:rsidR="008F54C1" w:rsidRPr="008F54C1" w:rsidRDefault="008F54C1" w:rsidP="008F54C1">
      <w:pPr>
        <w:widowControl w:val="0"/>
        <w:autoSpaceDE w:val="0"/>
        <w:autoSpaceDN w:val="0"/>
        <w:adjustRightInd w:val="0"/>
        <w:spacing w:line="360" w:lineRule="auto"/>
        <w:jc w:val="both"/>
        <w:rPr>
          <w:rFonts w:cs="Courier"/>
        </w:rPr>
      </w:pPr>
      <w:r w:rsidRPr="008F54C1">
        <w:rPr>
          <w:rStyle w:val="Refdenotadefim"/>
          <w:vertAlign w:val="baseline"/>
        </w:rPr>
        <w:footnoteRef/>
      </w:r>
      <w:proofErr w:type="gramStart"/>
      <w:r>
        <w:t>.</w:t>
      </w:r>
      <w:r w:rsidRPr="008F54C1">
        <w:rPr>
          <w:rFonts w:cs="Courier"/>
        </w:rPr>
        <w:t>Huang</w:t>
      </w:r>
      <w:proofErr w:type="gramEnd"/>
      <w:r w:rsidRPr="008F54C1">
        <w:rPr>
          <w:rFonts w:cs="Courier"/>
        </w:rPr>
        <w:t xml:space="preserve"> Y, </w:t>
      </w:r>
      <w:proofErr w:type="spellStart"/>
      <w:r w:rsidRPr="008F54C1">
        <w:rPr>
          <w:rFonts w:cs="Courier"/>
        </w:rPr>
        <w:t>Sullivan</w:t>
      </w:r>
      <w:proofErr w:type="spellEnd"/>
      <w:r w:rsidRPr="008F54C1">
        <w:rPr>
          <w:rFonts w:cs="Courier"/>
        </w:rPr>
        <w:t xml:space="preserve"> Pepe M, </w:t>
      </w:r>
      <w:proofErr w:type="spellStart"/>
      <w:r w:rsidRPr="008F54C1">
        <w:rPr>
          <w:rFonts w:cs="Courier"/>
        </w:rPr>
        <w:t>Feng</w:t>
      </w:r>
      <w:proofErr w:type="spellEnd"/>
      <w:r w:rsidRPr="008F54C1">
        <w:rPr>
          <w:rFonts w:cs="Courier"/>
        </w:rPr>
        <w:t xml:space="preserve"> Z. </w:t>
      </w:r>
      <w:proofErr w:type="spellStart"/>
      <w:r w:rsidRPr="008F54C1">
        <w:rPr>
          <w:rFonts w:cs="Courier"/>
        </w:rPr>
        <w:t>Evaluating</w:t>
      </w:r>
      <w:proofErr w:type="spellEnd"/>
      <w:r w:rsidRPr="008F54C1">
        <w:rPr>
          <w:rFonts w:cs="Courier"/>
        </w:rPr>
        <w:t xml:space="preserve"> </w:t>
      </w:r>
      <w:proofErr w:type="spellStart"/>
      <w:r w:rsidRPr="008F54C1">
        <w:rPr>
          <w:rFonts w:cs="Courier"/>
        </w:rPr>
        <w:t>the</w:t>
      </w:r>
      <w:proofErr w:type="spellEnd"/>
      <w:r w:rsidRPr="008F54C1">
        <w:rPr>
          <w:rFonts w:cs="Courier"/>
        </w:rPr>
        <w:t xml:space="preserve"> predictiveness </w:t>
      </w:r>
      <w:proofErr w:type="spellStart"/>
      <w:r w:rsidRPr="008F54C1">
        <w:rPr>
          <w:rFonts w:cs="Courier"/>
        </w:rPr>
        <w:t>Evaluating</w:t>
      </w:r>
      <w:proofErr w:type="spellEnd"/>
      <w:r w:rsidRPr="008F54C1">
        <w:rPr>
          <w:rFonts w:cs="Courier"/>
        </w:rPr>
        <w:t xml:space="preserve"> </w:t>
      </w:r>
      <w:proofErr w:type="spellStart"/>
      <w:r w:rsidRPr="008F54C1">
        <w:rPr>
          <w:rFonts w:cs="Courier"/>
        </w:rPr>
        <w:t>the</w:t>
      </w:r>
      <w:proofErr w:type="spellEnd"/>
      <w:r w:rsidRPr="008F54C1">
        <w:rPr>
          <w:rFonts w:cs="Courier"/>
        </w:rPr>
        <w:t xml:space="preserve"> predictiveness </w:t>
      </w:r>
      <w:proofErr w:type="spellStart"/>
      <w:r w:rsidRPr="008F54C1">
        <w:rPr>
          <w:rFonts w:cs="Courier"/>
        </w:rPr>
        <w:t>of</w:t>
      </w:r>
      <w:proofErr w:type="spellEnd"/>
      <w:r w:rsidRPr="008F54C1">
        <w:rPr>
          <w:rFonts w:cs="Courier"/>
        </w:rPr>
        <w:t xml:space="preserve"> a </w:t>
      </w:r>
      <w:proofErr w:type="spellStart"/>
      <w:r w:rsidRPr="008F54C1">
        <w:rPr>
          <w:rFonts w:cs="Courier"/>
        </w:rPr>
        <w:t>continuous</w:t>
      </w:r>
      <w:proofErr w:type="spellEnd"/>
      <w:r w:rsidRPr="008F54C1">
        <w:rPr>
          <w:rFonts w:cs="Courier"/>
        </w:rPr>
        <w:t xml:space="preserve"> </w:t>
      </w:r>
      <w:proofErr w:type="spellStart"/>
      <w:r w:rsidRPr="008F54C1">
        <w:rPr>
          <w:rFonts w:cs="Courier"/>
        </w:rPr>
        <w:t>marker</w:t>
      </w:r>
      <w:proofErr w:type="spellEnd"/>
      <w:r w:rsidRPr="008F54C1">
        <w:rPr>
          <w:rFonts w:cs="Courier"/>
        </w:rPr>
        <w:t xml:space="preserve">. </w:t>
      </w:r>
      <w:proofErr w:type="spellStart"/>
      <w:r w:rsidRPr="008F54C1">
        <w:rPr>
          <w:rFonts w:cs="Courier"/>
          <w:i/>
        </w:rPr>
        <w:t>Biometrics</w:t>
      </w:r>
      <w:proofErr w:type="spellEnd"/>
      <w:r w:rsidRPr="008F54C1">
        <w:rPr>
          <w:rFonts w:cs="Courier"/>
        </w:rPr>
        <w:t xml:space="preserve"> 63(4):1181-8, 2007.</w:t>
      </w:r>
    </w:p>
    <w:p w14:paraId="7B3C500D" w14:textId="24E434FE" w:rsidR="008F54C1" w:rsidRPr="008F54C1" w:rsidRDefault="008F54C1" w:rsidP="008F54C1">
      <w:pPr>
        <w:widowControl w:val="0"/>
        <w:autoSpaceDE w:val="0"/>
        <w:autoSpaceDN w:val="0"/>
        <w:adjustRightInd w:val="0"/>
        <w:spacing w:line="360" w:lineRule="auto"/>
        <w:jc w:val="both"/>
        <w:rPr>
          <w:rFonts w:cs="Courier"/>
        </w:rPr>
      </w:pPr>
      <w:r>
        <w:rPr>
          <w:rStyle w:val="Refdenotadefim"/>
          <w:vertAlign w:val="baseline"/>
        </w:rPr>
        <w:t>2</w:t>
      </w:r>
      <w:proofErr w:type="gramStart"/>
      <w:r>
        <w:t>.</w:t>
      </w:r>
      <w:r w:rsidRPr="008F54C1">
        <w:rPr>
          <w:rFonts w:cs="Courier"/>
        </w:rPr>
        <w:t>Pencina</w:t>
      </w:r>
      <w:proofErr w:type="gramEnd"/>
      <w:r w:rsidRPr="008F54C1">
        <w:rPr>
          <w:rFonts w:cs="Courier"/>
        </w:rPr>
        <w:t xml:space="preserve"> MJ, D'</w:t>
      </w:r>
      <w:proofErr w:type="spellStart"/>
      <w:r w:rsidRPr="008F54C1">
        <w:rPr>
          <w:rFonts w:cs="Courier"/>
        </w:rPr>
        <w:t>Agostino</w:t>
      </w:r>
      <w:proofErr w:type="spellEnd"/>
      <w:r w:rsidRPr="008F54C1">
        <w:rPr>
          <w:rFonts w:cs="Courier"/>
        </w:rPr>
        <w:t xml:space="preserve"> RB </w:t>
      </w:r>
      <w:proofErr w:type="spellStart"/>
      <w:r w:rsidRPr="008F54C1">
        <w:rPr>
          <w:rFonts w:cs="Courier"/>
        </w:rPr>
        <w:t>Sr</w:t>
      </w:r>
      <w:proofErr w:type="spellEnd"/>
      <w:r w:rsidRPr="008F54C1">
        <w:rPr>
          <w:rFonts w:cs="Courier"/>
        </w:rPr>
        <w:t xml:space="preserve">, </w:t>
      </w:r>
      <w:proofErr w:type="spellStart"/>
      <w:r w:rsidRPr="008F54C1">
        <w:rPr>
          <w:rFonts w:cs="Courier"/>
        </w:rPr>
        <w:t>Steyerberg</w:t>
      </w:r>
      <w:proofErr w:type="spellEnd"/>
      <w:r w:rsidRPr="008F54C1">
        <w:rPr>
          <w:rFonts w:cs="Courier"/>
        </w:rPr>
        <w:t xml:space="preserve"> EW. </w:t>
      </w:r>
      <w:proofErr w:type="spellStart"/>
      <w:r w:rsidRPr="008F54C1">
        <w:rPr>
          <w:rFonts w:cs="Courier"/>
        </w:rPr>
        <w:t>Extensions</w:t>
      </w:r>
      <w:proofErr w:type="spellEnd"/>
      <w:r w:rsidRPr="008F54C1">
        <w:rPr>
          <w:rFonts w:cs="Courier"/>
        </w:rPr>
        <w:t xml:space="preserve"> </w:t>
      </w:r>
      <w:proofErr w:type="spellStart"/>
      <w:r w:rsidRPr="008F54C1">
        <w:rPr>
          <w:rFonts w:cs="Courier"/>
        </w:rPr>
        <w:t>of</w:t>
      </w:r>
      <w:proofErr w:type="spellEnd"/>
      <w:r w:rsidRPr="008F54C1">
        <w:rPr>
          <w:rFonts w:cs="Courier"/>
        </w:rPr>
        <w:t xml:space="preserve"> net </w:t>
      </w:r>
      <w:proofErr w:type="spellStart"/>
      <w:r w:rsidRPr="008F54C1">
        <w:rPr>
          <w:rFonts w:cs="Courier"/>
        </w:rPr>
        <w:t>reclassification</w:t>
      </w:r>
      <w:proofErr w:type="spellEnd"/>
      <w:r w:rsidRPr="008F54C1">
        <w:rPr>
          <w:rFonts w:cs="Courier"/>
        </w:rPr>
        <w:t xml:space="preserve"> </w:t>
      </w:r>
      <w:proofErr w:type="spellStart"/>
      <w:r w:rsidRPr="008F54C1">
        <w:rPr>
          <w:rFonts w:cs="Courier"/>
        </w:rPr>
        <w:t>improvement</w:t>
      </w:r>
      <w:proofErr w:type="spellEnd"/>
      <w:r w:rsidRPr="008F54C1">
        <w:rPr>
          <w:rFonts w:cs="Courier"/>
        </w:rPr>
        <w:t xml:space="preserve"> </w:t>
      </w:r>
      <w:proofErr w:type="spellStart"/>
      <w:r w:rsidRPr="008F54C1">
        <w:rPr>
          <w:rFonts w:cs="Courier"/>
        </w:rPr>
        <w:t>calculations</w:t>
      </w:r>
      <w:proofErr w:type="spellEnd"/>
      <w:r w:rsidRPr="008F54C1">
        <w:rPr>
          <w:rFonts w:cs="Courier"/>
        </w:rPr>
        <w:t xml:space="preserve"> to </w:t>
      </w:r>
      <w:proofErr w:type="spellStart"/>
      <w:r w:rsidRPr="008F54C1">
        <w:rPr>
          <w:rFonts w:cs="Courier"/>
        </w:rPr>
        <w:t>measure</w:t>
      </w:r>
      <w:proofErr w:type="spellEnd"/>
      <w:r w:rsidRPr="008F54C1">
        <w:rPr>
          <w:rFonts w:cs="Courier"/>
        </w:rPr>
        <w:t xml:space="preserve"> </w:t>
      </w:r>
      <w:proofErr w:type="spellStart"/>
      <w:r w:rsidRPr="008F54C1">
        <w:rPr>
          <w:rFonts w:cs="Courier"/>
        </w:rPr>
        <w:t>usefulness</w:t>
      </w:r>
      <w:proofErr w:type="spellEnd"/>
      <w:r w:rsidRPr="008F54C1">
        <w:rPr>
          <w:rFonts w:cs="Courier"/>
        </w:rPr>
        <w:t xml:space="preserve"> </w:t>
      </w:r>
      <w:proofErr w:type="spellStart"/>
      <w:r w:rsidRPr="008F54C1">
        <w:rPr>
          <w:rFonts w:cs="Courier"/>
        </w:rPr>
        <w:t>of</w:t>
      </w:r>
      <w:proofErr w:type="spellEnd"/>
      <w:r w:rsidRPr="008F54C1">
        <w:rPr>
          <w:rFonts w:cs="Courier"/>
        </w:rPr>
        <w:t xml:space="preserve"> </w:t>
      </w:r>
      <w:proofErr w:type="spellStart"/>
      <w:r w:rsidRPr="008F54C1">
        <w:rPr>
          <w:rFonts w:cs="Courier"/>
        </w:rPr>
        <w:t>new</w:t>
      </w:r>
      <w:proofErr w:type="spellEnd"/>
      <w:r w:rsidRPr="008F54C1">
        <w:rPr>
          <w:rFonts w:cs="Courier"/>
        </w:rPr>
        <w:t xml:space="preserve"> </w:t>
      </w:r>
      <w:proofErr w:type="spellStart"/>
      <w:r w:rsidRPr="008F54C1">
        <w:rPr>
          <w:rFonts w:cs="Courier"/>
        </w:rPr>
        <w:t>biomarkers</w:t>
      </w:r>
      <w:proofErr w:type="spellEnd"/>
      <w:r w:rsidRPr="008F54C1">
        <w:rPr>
          <w:rFonts w:cs="Courier"/>
        </w:rPr>
        <w:t xml:space="preserve">. </w:t>
      </w:r>
      <w:proofErr w:type="spellStart"/>
      <w:r w:rsidRPr="008F54C1">
        <w:rPr>
          <w:rFonts w:cs="Courier"/>
          <w:i/>
        </w:rPr>
        <w:t>Stat</w:t>
      </w:r>
      <w:proofErr w:type="spellEnd"/>
      <w:r w:rsidRPr="008F54C1">
        <w:rPr>
          <w:rFonts w:cs="Courier"/>
          <w:i/>
        </w:rPr>
        <w:t xml:space="preserve"> </w:t>
      </w:r>
      <w:proofErr w:type="spellStart"/>
      <w:r w:rsidRPr="008F54C1">
        <w:rPr>
          <w:rFonts w:cs="Courier"/>
          <w:i/>
        </w:rPr>
        <w:t>Med</w:t>
      </w:r>
      <w:proofErr w:type="spellEnd"/>
      <w:r w:rsidRPr="008F54C1">
        <w:rPr>
          <w:rFonts w:cs="Courier"/>
        </w:rPr>
        <w:t xml:space="preserve"> 30(1): 11-21, 2011.</w:t>
      </w:r>
    </w:p>
    <w:p w14:paraId="53D7EF98" w14:textId="61D1C0D9" w:rsidR="008F54C1" w:rsidRPr="008F54C1" w:rsidRDefault="008F54C1" w:rsidP="008F54C1">
      <w:pPr>
        <w:pStyle w:val="Textodenotadefim"/>
        <w:jc w:val="both"/>
        <w:rPr>
          <w:sz w:val="24"/>
          <w:szCs w:val="24"/>
        </w:rPr>
      </w:pPr>
      <w:r>
        <w:rPr>
          <w:rStyle w:val="Refdenotadefim"/>
          <w:sz w:val="24"/>
          <w:szCs w:val="24"/>
          <w:vertAlign w:val="baseline"/>
        </w:rPr>
        <w:t>3</w:t>
      </w:r>
      <w:proofErr w:type="gramStart"/>
      <w:r>
        <w:rPr>
          <w:sz w:val="24"/>
          <w:szCs w:val="24"/>
        </w:rPr>
        <w:t>.</w:t>
      </w:r>
      <w:proofErr w:type="spellStart"/>
      <w:r w:rsidRPr="008F54C1">
        <w:rPr>
          <w:rFonts w:cs="Courier"/>
          <w:sz w:val="24"/>
          <w:szCs w:val="24"/>
          <w:lang w:val="pt-PT"/>
        </w:rPr>
        <w:t>Pencina</w:t>
      </w:r>
      <w:proofErr w:type="spellEnd"/>
      <w:proofErr w:type="gramEnd"/>
      <w:r w:rsidRPr="008F54C1">
        <w:rPr>
          <w:rFonts w:cs="Courier"/>
          <w:sz w:val="24"/>
          <w:szCs w:val="24"/>
          <w:lang w:val="pt-PT"/>
        </w:rPr>
        <w:t xml:space="preserve"> MJ, D'</w:t>
      </w:r>
      <w:proofErr w:type="spellStart"/>
      <w:r w:rsidRPr="008F54C1">
        <w:rPr>
          <w:rFonts w:cs="Courier"/>
          <w:sz w:val="24"/>
          <w:szCs w:val="24"/>
          <w:lang w:val="pt-PT"/>
        </w:rPr>
        <w:t>Agostino</w:t>
      </w:r>
      <w:proofErr w:type="spellEnd"/>
      <w:r w:rsidRPr="008F54C1">
        <w:rPr>
          <w:rFonts w:cs="Courier"/>
          <w:sz w:val="24"/>
          <w:szCs w:val="24"/>
          <w:lang w:val="pt-PT"/>
        </w:rPr>
        <w:t xml:space="preserve"> RB </w:t>
      </w:r>
      <w:proofErr w:type="spellStart"/>
      <w:r w:rsidRPr="008F54C1">
        <w:rPr>
          <w:rFonts w:cs="Courier"/>
          <w:sz w:val="24"/>
          <w:szCs w:val="24"/>
          <w:lang w:val="pt-PT"/>
        </w:rPr>
        <w:t>Sr</w:t>
      </w:r>
      <w:proofErr w:type="spellEnd"/>
      <w:r w:rsidRPr="008F54C1">
        <w:rPr>
          <w:rFonts w:cs="Courier"/>
          <w:sz w:val="24"/>
          <w:szCs w:val="24"/>
          <w:lang w:val="pt-PT"/>
        </w:rPr>
        <w:t>, D'</w:t>
      </w:r>
      <w:proofErr w:type="spellStart"/>
      <w:r w:rsidRPr="008F54C1">
        <w:rPr>
          <w:rFonts w:cs="Courier"/>
          <w:sz w:val="24"/>
          <w:szCs w:val="24"/>
          <w:lang w:val="pt-PT"/>
        </w:rPr>
        <w:t>Agostino</w:t>
      </w:r>
      <w:proofErr w:type="spellEnd"/>
      <w:r w:rsidRPr="008F54C1">
        <w:rPr>
          <w:rFonts w:cs="Courier"/>
          <w:sz w:val="24"/>
          <w:szCs w:val="24"/>
          <w:lang w:val="pt-PT"/>
        </w:rPr>
        <w:t xml:space="preserve"> RB </w:t>
      </w:r>
      <w:proofErr w:type="spellStart"/>
      <w:r w:rsidRPr="008F54C1">
        <w:rPr>
          <w:rFonts w:cs="Courier"/>
          <w:sz w:val="24"/>
          <w:szCs w:val="24"/>
          <w:lang w:val="pt-PT"/>
        </w:rPr>
        <w:t>Jr</w:t>
      </w:r>
      <w:proofErr w:type="spellEnd"/>
      <w:r w:rsidRPr="008F54C1">
        <w:rPr>
          <w:rFonts w:cs="Courier"/>
          <w:sz w:val="24"/>
          <w:szCs w:val="24"/>
          <w:lang w:val="pt-PT"/>
        </w:rPr>
        <w:t xml:space="preserve">, </w:t>
      </w:r>
      <w:proofErr w:type="spellStart"/>
      <w:r w:rsidRPr="008F54C1">
        <w:rPr>
          <w:rFonts w:cs="Courier"/>
          <w:sz w:val="24"/>
          <w:szCs w:val="24"/>
          <w:lang w:val="pt-PT"/>
        </w:rPr>
        <w:t>Vasan</w:t>
      </w:r>
      <w:proofErr w:type="spellEnd"/>
      <w:r w:rsidRPr="008F54C1">
        <w:rPr>
          <w:rFonts w:cs="Courier"/>
          <w:sz w:val="24"/>
          <w:szCs w:val="24"/>
          <w:lang w:val="pt-PT"/>
        </w:rPr>
        <w:t xml:space="preserve"> RS. </w:t>
      </w:r>
      <w:r w:rsidRPr="008F54C1">
        <w:rPr>
          <w:rFonts w:cs="Courier"/>
          <w:sz w:val="24"/>
          <w:szCs w:val="24"/>
        </w:rPr>
        <w:t>Evaluating the added predictive ability of a new marker: from area under the ROC curve to reclassification and beyond</w:t>
      </w:r>
      <w:r w:rsidRPr="008F54C1">
        <w:rPr>
          <w:rFonts w:cs="Courier"/>
          <w:i/>
          <w:sz w:val="24"/>
          <w:szCs w:val="24"/>
        </w:rPr>
        <w:t>. Stat Med</w:t>
      </w:r>
      <w:r w:rsidRPr="008F54C1">
        <w:rPr>
          <w:rFonts w:cs="Courier"/>
          <w:sz w:val="24"/>
          <w:szCs w:val="24"/>
        </w:rPr>
        <w:t xml:space="preserve"> 27(2):157-72; discussion 207-12, 2008.</w:t>
      </w:r>
    </w:p>
    <w:p w14:paraId="3B080204" w14:textId="77777777" w:rsidR="008F54C1" w:rsidRDefault="008F54C1" w:rsidP="00C903F1">
      <w:pPr>
        <w:spacing w:line="480" w:lineRule="auto"/>
        <w:jc w:val="both"/>
        <w:rPr>
          <w:rFonts w:ascii="Arial" w:hAnsi="Arial" w:cs="Arial"/>
          <w:lang w:val="en-US"/>
        </w:rPr>
      </w:pPr>
    </w:p>
    <w:p w14:paraId="3D421457" w14:textId="77777777" w:rsidR="008F54C1" w:rsidRDefault="008F54C1" w:rsidP="00C903F1">
      <w:pPr>
        <w:spacing w:line="480" w:lineRule="auto"/>
        <w:jc w:val="both"/>
        <w:rPr>
          <w:rFonts w:ascii="Arial" w:hAnsi="Arial" w:cs="Arial"/>
          <w:lang w:val="en-US"/>
        </w:rPr>
      </w:pPr>
    </w:p>
    <w:p w14:paraId="51E4CBE6" w14:textId="77777777" w:rsidR="008A1801" w:rsidRDefault="008A1801">
      <w:pPr>
        <w:rPr>
          <w:lang w:val="en-US"/>
        </w:rPr>
        <w:sectPr w:rsidR="008A1801" w:rsidSect="00C72FAE">
          <w:endnotePr>
            <w:numFmt w:val="decimal"/>
          </w:endnotePr>
          <w:pgSz w:w="11900" w:h="16840"/>
          <w:pgMar w:top="1417" w:right="1701" w:bottom="1417" w:left="1701" w:header="708" w:footer="708" w:gutter="0"/>
          <w:cols w:space="708"/>
          <w:docGrid w:linePitch="360"/>
        </w:sectPr>
      </w:pPr>
    </w:p>
    <w:p w14:paraId="0BA0630B" w14:textId="77777777" w:rsidR="003B373B" w:rsidRDefault="003B373B" w:rsidP="003B373B">
      <w:pPr>
        <w:autoSpaceDE w:val="0"/>
        <w:autoSpaceDN w:val="0"/>
        <w:adjustRightInd w:val="0"/>
        <w:spacing w:line="320" w:lineRule="atLeast"/>
        <w:ind w:right="60"/>
        <w:jc w:val="center"/>
        <w:rPr>
          <w:rFonts w:ascii="Arial" w:eastAsiaTheme="minorEastAsia" w:hAnsi="Arial" w:cs="Arial"/>
          <w:color w:val="000000"/>
          <w:sz w:val="22"/>
          <w:szCs w:val="22"/>
          <w:lang w:val="en-US"/>
        </w:rPr>
      </w:pPr>
      <w:r>
        <w:rPr>
          <w:rFonts w:ascii="Arial" w:hAnsi="Arial" w:cs="Arial"/>
          <w:b/>
          <w:lang w:val="en-US"/>
        </w:rPr>
        <w:t xml:space="preserve">Supplemental Table 1. </w:t>
      </w:r>
      <w:r w:rsidRPr="00AE2710">
        <w:rPr>
          <w:rFonts w:ascii="Arial" w:hAnsi="Arial" w:cs="Arial"/>
          <w:b/>
          <w:lang w:val="en-US"/>
        </w:rPr>
        <w:t xml:space="preserve">Performance of the Multivariable Regression </w:t>
      </w:r>
      <w:r>
        <w:rPr>
          <w:rFonts w:ascii="Arial" w:hAnsi="Arial" w:cs="Arial"/>
          <w:b/>
          <w:lang w:val="en-US"/>
        </w:rPr>
        <w:t>Logistic</w:t>
      </w:r>
      <w:r w:rsidRPr="00AE2710">
        <w:rPr>
          <w:rFonts w:ascii="Arial" w:hAnsi="Arial" w:cs="Arial"/>
          <w:b/>
          <w:lang w:val="en-US"/>
        </w:rPr>
        <w:t xml:space="preserve"> Models</w:t>
      </w:r>
    </w:p>
    <w:p w14:paraId="230441F0" w14:textId="77777777" w:rsidR="003B373B" w:rsidRDefault="003B373B" w:rsidP="003B373B">
      <w:bookmarkStart w:id="0" w:name="_GoBack"/>
      <w:bookmarkEnd w:id="0"/>
    </w:p>
    <w:p w14:paraId="75625CB7" w14:textId="77777777" w:rsidR="003B373B" w:rsidRDefault="003B373B" w:rsidP="003B373B"/>
    <w:p w14:paraId="598BD216" w14:textId="77777777" w:rsidR="003B373B" w:rsidRDefault="003B373B" w:rsidP="003B373B"/>
    <w:tbl>
      <w:tblPr>
        <w:tblStyle w:val="SombreadoClaro-Cor1"/>
        <w:tblpPr w:leftFromText="180" w:rightFromText="180" w:vertAnchor="page" w:horzAnchor="page" w:tblpXSpec="center" w:tblpY="2881"/>
        <w:tblW w:w="0" w:type="auto"/>
        <w:tblLook w:val="04A0" w:firstRow="1" w:lastRow="0" w:firstColumn="1" w:lastColumn="0" w:noHBand="0" w:noVBand="1"/>
      </w:tblPr>
      <w:tblGrid>
        <w:gridCol w:w="3310"/>
        <w:gridCol w:w="1586"/>
        <w:gridCol w:w="2455"/>
        <w:gridCol w:w="2601"/>
        <w:gridCol w:w="2271"/>
      </w:tblGrid>
      <w:tr w:rsidR="003B373B" w:rsidRPr="003B373B" w14:paraId="3CC93CF8" w14:textId="77777777" w:rsidTr="00180C6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354815E1" w14:textId="77777777" w:rsidR="003B373B" w:rsidRPr="003B373B" w:rsidRDefault="003B373B" w:rsidP="00180C6C">
            <w:pPr>
              <w:rPr>
                <w:rFonts w:ascii="Arial" w:eastAsia="Times New Roman" w:hAnsi="Arial" w:cs="Arial"/>
                <w:b w:val="0"/>
                <w:bCs w:val="0"/>
                <w:color w:val="000000"/>
                <w:sz w:val="22"/>
                <w:szCs w:val="22"/>
                <w:lang w:eastAsia="en-GB"/>
              </w:rPr>
            </w:pPr>
            <w:r w:rsidRPr="003B373B">
              <w:rPr>
                <w:rFonts w:ascii="Arial" w:eastAsia="Times New Roman" w:hAnsi="Arial" w:cs="Arial"/>
                <w:color w:val="000000"/>
                <w:sz w:val="22"/>
                <w:szCs w:val="22"/>
                <w:lang w:eastAsia="en-GB"/>
              </w:rPr>
              <w:t xml:space="preserve">Performance </w:t>
            </w:r>
            <w:proofErr w:type="spellStart"/>
            <w:r w:rsidRPr="003B373B">
              <w:rPr>
                <w:rFonts w:ascii="Arial" w:eastAsia="Times New Roman" w:hAnsi="Arial" w:cs="Arial"/>
                <w:color w:val="000000"/>
                <w:sz w:val="22"/>
                <w:szCs w:val="22"/>
                <w:lang w:eastAsia="en-GB"/>
              </w:rPr>
              <w:t>measures</w:t>
            </w:r>
            <w:proofErr w:type="spellEnd"/>
          </w:p>
        </w:tc>
        <w:tc>
          <w:tcPr>
            <w:tcW w:w="0" w:type="auto"/>
            <w:tcBorders>
              <w:top w:val="single" w:sz="4" w:space="0" w:color="auto"/>
              <w:bottom w:val="nil"/>
            </w:tcBorders>
            <w:noWrap/>
            <w:hideMark/>
          </w:tcPr>
          <w:p w14:paraId="297C2099" w14:textId="77777777" w:rsidR="003B373B" w:rsidRPr="003B373B" w:rsidRDefault="003B373B" w:rsidP="00180C6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MODEL 1</w:t>
            </w:r>
          </w:p>
        </w:tc>
        <w:tc>
          <w:tcPr>
            <w:tcW w:w="0" w:type="auto"/>
            <w:tcBorders>
              <w:top w:val="single" w:sz="4" w:space="0" w:color="auto"/>
              <w:bottom w:val="nil"/>
            </w:tcBorders>
            <w:noWrap/>
            <w:hideMark/>
          </w:tcPr>
          <w:p w14:paraId="19FB487A" w14:textId="77777777" w:rsidR="003B373B" w:rsidRPr="003B373B" w:rsidRDefault="003B373B" w:rsidP="00180C6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MODEL 2</w:t>
            </w:r>
          </w:p>
        </w:tc>
        <w:tc>
          <w:tcPr>
            <w:tcW w:w="0" w:type="auto"/>
            <w:tcBorders>
              <w:top w:val="single" w:sz="4" w:space="0" w:color="auto"/>
              <w:bottom w:val="nil"/>
            </w:tcBorders>
            <w:noWrap/>
            <w:hideMark/>
          </w:tcPr>
          <w:p w14:paraId="58184151" w14:textId="77777777" w:rsidR="003B373B" w:rsidRPr="003B373B" w:rsidRDefault="003B373B" w:rsidP="00180C6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MODEL 3</w:t>
            </w:r>
          </w:p>
        </w:tc>
        <w:tc>
          <w:tcPr>
            <w:tcW w:w="0" w:type="auto"/>
            <w:tcBorders>
              <w:top w:val="single" w:sz="4" w:space="0" w:color="auto"/>
              <w:bottom w:val="nil"/>
            </w:tcBorders>
            <w:noWrap/>
            <w:hideMark/>
          </w:tcPr>
          <w:p w14:paraId="358EA7D4" w14:textId="77777777" w:rsidR="003B373B" w:rsidRPr="003B373B" w:rsidRDefault="003B373B" w:rsidP="00180C6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MODEL 4</w:t>
            </w:r>
          </w:p>
        </w:tc>
      </w:tr>
      <w:tr w:rsidR="003B373B" w:rsidRPr="003B373B" w14:paraId="58531437"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hideMark/>
          </w:tcPr>
          <w:p w14:paraId="0F34BE7A" w14:textId="77777777" w:rsidR="003B373B" w:rsidRPr="003B373B" w:rsidRDefault="003B373B" w:rsidP="00180C6C">
            <w:pPr>
              <w:rPr>
                <w:rFonts w:ascii="Arial" w:eastAsia="Times New Roman" w:hAnsi="Arial" w:cs="Arial"/>
                <w:b w:val="0"/>
                <w:bCs w:val="0"/>
                <w:color w:val="000000"/>
                <w:sz w:val="22"/>
                <w:szCs w:val="22"/>
                <w:lang w:eastAsia="en-GB"/>
              </w:rPr>
            </w:pPr>
            <w:r w:rsidRPr="003B373B">
              <w:rPr>
                <w:rFonts w:ascii="Arial" w:eastAsia="Times New Roman" w:hAnsi="Arial" w:cs="Arial"/>
                <w:color w:val="000000"/>
                <w:sz w:val="22"/>
                <w:szCs w:val="22"/>
                <w:lang w:eastAsia="en-GB"/>
              </w:rPr>
              <w:t>OVERALL PERFORMANCE</w:t>
            </w:r>
          </w:p>
        </w:tc>
        <w:tc>
          <w:tcPr>
            <w:tcW w:w="0" w:type="auto"/>
            <w:tcBorders>
              <w:top w:val="nil"/>
              <w:bottom w:val="nil"/>
            </w:tcBorders>
            <w:shd w:val="clear" w:color="auto" w:fill="auto"/>
            <w:noWrap/>
            <w:hideMark/>
          </w:tcPr>
          <w:p w14:paraId="757C13A0" w14:textId="77777777" w:rsidR="003B373B" w:rsidRPr="003B373B" w:rsidRDefault="003B373B" w:rsidP="00180C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nil"/>
            </w:tcBorders>
            <w:shd w:val="clear" w:color="auto" w:fill="auto"/>
            <w:noWrap/>
            <w:hideMark/>
          </w:tcPr>
          <w:p w14:paraId="3409E201"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nil"/>
            </w:tcBorders>
            <w:shd w:val="clear" w:color="auto" w:fill="auto"/>
            <w:noWrap/>
            <w:hideMark/>
          </w:tcPr>
          <w:p w14:paraId="7A300405"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nil"/>
            </w:tcBorders>
            <w:shd w:val="clear" w:color="auto" w:fill="auto"/>
            <w:noWrap/>
            <w:hideMark/>
          </w:tcPr>
          <w:p w14:paraId="1F1734D8"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r>
      <w:tr w:rsidR="003B373B" w:rsidRPr="003B373B" w14:paraId="0F3AEB6F" w14:textId="77777777" w:rsidTr="00180C6C">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hideMark/>
          </w:tcPr>
          <w:p w14:paraId="063B6258"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R</w:t>
            </w:r>
            <w:r w:rsidRPr="003B373B">
              <w:rPr>
                <w:rFonts w:ascii="Arial" w:eastAsia="Times New Roman" w:hAnsi="Arial" w:cs="Arial"/>
                <w:b w:val="0"/>
                <w:color w:val="000000"/>
                <w:sz w:val="22"/>
                <w:szCs w:val="22"/>
                <w:vertAlign w:val="superscript"/>
                <w:lang w:eastAsia="en-GB"/>
              </w:rPr>
              <w:t>2</w:t>
            </w:r>
            <w:r w:rsidRPr="003B373B">
              <w:rPr>
                <w:rFonts w:ascii="Arial" w:eastAsia="Times New Roman" w:hAnsi="Arial" w:cs="Arial"/>
                <w:b w:val="0"/>
                <w:color w:val="000000"/>
                <w:sz w:val="22"/>
                <w:szCs w:val="22"/>
                <w:lang w:eastAsia="en-GB"/>
              </w:rPr>
              <w:t xml:space="preserve"> (</w:t>
            </w:r>
            <w:proofErr w:type="spellStart"/>
            <w:r w:rsidRPr="003B373B">
              <w:rPr>
                <w:rFonts w:ascii="Arial" w:eastAsia="Times New Roman" w:hAnsi="Arial" w:cs="Arial"/>
                <w:b w:val="0"/>
                <w:color w:val="000000"/>
                <w:sz w:val="22"/>
                <w:szCs w:val="22"/>
                <w:lang w:eastAsia="en-GB"/>
              </w:rPr>
              <w:t>Nagelkerke</w:t>
            </w:r>
            <w:proofErr w:type="spellEnd"/>
            <w:r w:rsidRPr="003B373B">
              <w:rPr>
                <w:rFonts w:ascii="Arial" w:eastAsia="Times New Roman" w:hAnsi="Arial" w:cs="Arial"/>
                <w:b w:val="0"/>
                <w:color w:val="000000"/>
                <w:sz w:val="22"/>
                <w:szCs w:val="22"/>
                <w:lang w:eastAsia="en-GB"/>
              </w:rPr>
              <w:t>) (%)</w:t>
            </w:r>
          </w:p>
        </w:tc>
        <w:tc>
          <w:tcPr>
            <w:tcW w:w="0" w:type="auto"/>
            <w:tcBorders>
              <w:top w:val="nil"/>
              <w:bottom w:val="nil"/>
            </w:tcBorders>
            <w:shd w:val="clear" w:color="auto" w:fill="auto"/>
            <w:noWrap/>
            <w:hideMark/>
          </w:tcPr>
          <w:p w14:paraId="2F386DB6"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31.0%</w:t>
            </w:r>
          </w:p>
        </w:tc>
        <w:tc>
          <w:tcPr>
            <w:tcW w:w="0" w:type="auto"/>
            <w:tcBorders>
              <w:top w:val="nil"/>
              <w:bottom w:val="nil"/>
            </w:tcBorders>
            <w:shd w:val="clear" w:color="auto" w:fill="auto"/>
            <w:noWrap/>
          </w:tcPr>
          <w:p w14:paraId="22D5AB3F"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32.6%</w:t>
            </w:r>
          </w:p>
        </w:tc>
        <w:tc>
          <w:tcPr>
            <w:tcW w:w="0" w:type="auto"/>
            <w:tcBorders>
              <w:top w:val="nil"/>
              <w:bottom w:val="nil"/>
            </w:tcBorders>
            <w:shd w:val="clear" w:color="auto" w:fill="auto"/>
            <w:noWrap/>
            <w:hideMark/>
          </w:tcPr>
          <w:p w14:paraId="7A175857"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45.6%</w:t>
            </w:r>
          </w:p>
        </w:tc>
        <w:tc>
          <w:tcPr>
            <w:tcW w:w="0" w:type="auto"/>
            <w:tcBorders>
              <w:top w:val="nil"/>
              <w:bottom w:val="nil"/>
              <w:right w:val="nil"/>
            </w:tcBorders>
            <w:shd w:val="clear" w:color="auto" w:fill="auto"/>
            <w:noWrap/>
          </w:tcPr>
          <w:p w14:paraId="6CA4F43E"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34.0%</w:t>
            </w:r>
          </w:p>
        </w:tc>
      </w:tr>
      <w:tr w:rsidR="003B373B" w:rsidRPr="003B373B" w14:paraId="6A02B485" w14:textId="77777777" w:rsidTr="00180C6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tcPr>
          <w:p w14:paraId="6266AD01" w14:textId="77777777" w:rsidR="003B373B" w:rsidRPr="003B373B" w:rsidRDefault="003B373B" w:rsidP="00180C6C">
            <w:pPr>
              <w:jc w:val="right"/>
              <w:rPr>
                <w:rFonts w:ascii="Arial" w:eastAsia="Times New Roman" w:hAnsi="Arial" w:cs="Arial"/>
                <w:b w:val="0"/>
                <w:color w:val="000000"/>
                <w:sz w:val="22"/>
                <w:szCs w:val="22"/>
                <w:lang w:eastAsia="en-GB"/>
              </w:rPr>
            </w:pPr>
            <w:proofErr w:type="spellStart"/>
            <w:r w:rsidRPr="003B373B">
              <w:rPr>
                <w:rFonts w:ascii="Arial" w:eastAsia="Times New Roman" w:hAnsi="Arial" w:cs="Arial"/>
                <w:b w:val="0"/>
                <w:color w:val="000000"/>
                <w:sz w:val="22"/>
                <w:szCs w:val="22"/>
                <w:lang w:eastAsia="en-GB"/>
              </w:rPr>
              <w:t>Brier</w:t>
            </w:r>
            <w:proofErr w:type="spellEnd"/>
            <w:r w:rsidRPr="003B373B">
              <w:rPr>
                <w:rFonts w:ascii="Arial" w:eastAsia="Times New Roman" w:hAnsi="Arial" w:cs="Arial"/>
                <w:b w:val="0"/>
                <w:color w:val="000000"/>
                <w:sz w:val="22"/>
                <w:szCs w:val="22"/>
                <w:lang w:eastAsia="en-GB"/>
              </w:rPr>
              <w:t xml:space="preserve"> Score</w:t>
            </w:r>
          </w:p>
        </w:tc>
        <w:tc>
          <w:tcPr>
            <w:tcW w:w="0" w:type="auto"/>
            <w:tcBorders>
              <w:top w:val="nil"/>
              <w:bottom w:val="single" w:sz="4" w:space="0" w:color="auto"/>
            </w:tcBorders>
            <w:shd w:val="clear" w:color="auto" w:fill="auto"/>
            <w:noWrap/>
          </w:tcPr>
          <w:p w14:paraId="1807FB99"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0.190</w:t>
            </w:r>
          </w:p>
        </w:tc>
        <w:tc>
          <w:tcPr>
            <w:tcW w:w="0" w:type="auto"/>
            <w:tcBorders>
              <w:top w:val="nil"/>
              <w:bottom w:val="single" w:sz="4" w:space="0" w:color="auto"/>
            </w:tcBorders>
            <w:shd w:val="clear" w:color="auto" w:fill="auto"/>
            <w:noWrap/>
          </w:tcPr>
          <w:p w14:paraId="054BD635"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0.184</w:t>
            </w:r>
          </w:p>
        </w:tc>
        <w:tc>
          <w:tcPr>
            <w:tcW w:w="0" w:type="auto"/>
            <w:tcBorders>
              <w:top w:val="nil"/>
              <w:bottom w:val="single" w:sz="4" w:space="0" w:color="auto"/>
            </w:tcBorders>
            <w:shd w:val="clear" w:color="auto" w:fill="auto"/>
            <w:noWrap/>
          </w:tcPr>
          <w:p w14:paraId="49655684"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0.155</w:t>
            </w:r>
          </w:p>
        </w:tc>
        <w:tc>
          <w:tcPr>
            <w:tcW w:w="0" w:type="auto"/>
            <w:tcBorders>
              <w:top w:val="nil"/>
              <w:bottom w:val="single" w:sz="4" w:space="0" w:color="auto"/>
            </w:tcBorders>
            <w:shd w:val="clear" w:color="auto" w:fill="auto"/>
            <w:noWrap/>
          </w:tcPr>
          <w:p w14:paraId="4FB4E6AF"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0.182</w:t>
            </w:r>
          </w:p>
        </w:tc>
      </w:tr>
      <w:tr w:rsidR="003B373B" w:rsidRPr="003B373B" w14:paraId="2CA111CB"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04D43035" w14:textId="77777777" w:rsidR="003B373B" w:rsidRPr="003B373B" w:rsidRDefault="003B373B" w:rsidP="00180C6C">
            <w:pPr>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DISCRIMINATION     </w:t>
            </w:r>
          </w:p>
          <w:p w14:paraId="5B4A0538"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AUC</w:t>
            </w:r>
          </w:p>
          <w:p w14:paraId="41B71660"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 xml:space="preserve">(CI)                                             </w:t>
            </w:r>
          </w:p>
        </w:tc>
        <w:tc>
          <w:tcPr>
            <w:tcW w:w="0" w:type="auto"/>
            <w:tcBorders>
              <w:top w:val="single" w:sz="4" w:space="0" w:color="auto"/>
              <w:bottom w:val="single" w:sz="4" w:space="0" w:color="auto"/>
            </w:tcBorders>
            <w:shd w:val="clear" w:color="auto" w:fill="auto"/>
            <w:noWrap/>
          </w:tcPr>
          <w:p w14:paraId="27E24355"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p w14:paraId="2E3DE148"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0.770                             </w:t>
            </w:r>
          </w:p>
          <w:p w14:paraId="16F852FD"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(0.642, 0.898)</w:t>
            </w:r>
          </w:p>
        </w:tc>
        <w:tc>
          <w:tcPr>
            <w:tcW w:w="0" w:type="auto"/>
            <w:tcBorders>
              <w:top w:val="single" w:sz="4" w:space="0" w:color="auto"/>
              <w:bottom w:val="single" w:sz="4" w:space="0" w:color="auto"/>
            </w:tcBorders>
            <w:shd w:val="clear" w:color="auto" w:fill="auto"/>
            <w:noWrap/>
          </w:tcPr>
          <w:p w14:paraId="4F94607E"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p w14:paraId="0A469E8A"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0.777</w:t>
            </w:r>
          </w:p>
          <w:p w14:paraId="523CC2AA"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(0.647, 0.907)</w:t>
            </w:r>
          </w:p>
        </w:tc>
        <w:tc>
          <w:tcPr>
            <w:tcW w:w="0" w:type="auto"/>
            <w:tcBorders>
              <w:top w:val="single" w:sz="4" w:space="0" w:color="auto"/>
              <w:bottom w:val="single" w:sz="4" w:space="0" w:color="auto"/>
            </w:tcBorders>
            <w:shd w:val="clear" w:color="auto" w:fill="auto"/>
            <w:noWrap/>
          </w:tcPr>
          <w:p w14:paraId="0004C5E2"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p w14:paraId="52282593"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0.832</w:t>
            </w:r>
          </w:p>
          <w:p w14:paraId="69365443"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(0.719, 0.944)</w:t>
            </w:r>
          </w:p>
        </w:tc>
        <w:tc>
          <w:tcPr>
            <w:tcW w:w="0" w:type="auto"/>
            <w:tcBorders>
              <w:top w:val="single" w:sz="4" w:space="0" w:color="auto"/>
              <w:bottom w:val="single" w:sz="4" w:space="0" w:color="auto"/>
              <w:right w:val="nil"/>
            </w:tcBorders>
            <w:shd w:val="clear" w:color="auto" w:fill="auto"/>
            <w:noWrap/>
          </w:tcPr>
          <w:p w14:paraId="644B9090"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p w14:paraId="41F5D8AD"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0.787</w:t>
            </w:r>
          </w:p>
          <w:p w14:paraId="0F864210"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(0.662, 0.912)</w:t>
            </w:r>
          </w:p>
        </w:tc>
      </w:tr>
      <w:tr w:rsidR="003B373B" w:rsidRPr="003B373B" w14:paraId="470D0762"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noWrap/>
            <w:hideMark/>
          </w:tcPr>
          <w:p w14:paraId="3A345224" w14:textId="77777777" w:rsidR="003B373B" w:rsidRPr="003B373B" w:rsidRDefault="003B373B" w:rsidP="00180C6C">
            <w:pPr>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CALIBRATION</w:t>
            </w:r>
          </w:p>
        </w:tc>
        <w:tc>
          <w:tcPr>
            <w:tcW w:w="0" w:type="auto"/>
            <w:tcBorders>
              <w:top w:val="single" w:sz="4" w:space="0" w:color="auto"/>
              <w:bottom w:val="nil"/>
            </w:tcBorders>
            <w:shd w:val="clear" w:color="auto" w:fill="auto"/>
            <w:noWrap/>
            <w:hideMark/>
          </w:tcPr>
          <w:p w14:paraId="04400E2B"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tcPr>
          <w:p w14:paraId="286C27FE"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hideMark/>
          </w:tcPr>
          <w:p w14:paraId="584700BB"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tcPr>
          <w:p w14:paraId="36F3EE62"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r>
      <w:tr w:rsidR="003B373B" w:rsidRPr="003B373B" w14:paraId="63F05AA7"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tcPr>
          <w:p w14:paraId="59E11603" w14:textId="77777777" w:rsidR="003B373B" w:rsidRPr="003B373B" w:rsidRDefault="003B373B" w:rsidP="00180C6C">
            <w:pPr>
              <w:rPr>
                <w:rFonts w:ascii="Arial" w:eastAsia="Times New Roman" w:hAnsi="Arial" w:cs="Arial"/>
                <w:b w:val="0"/>
                <w:color w:val="000000"/>
                <w:sz w:val="22"/>
                <w:szCs w:val="22"/>
                <w:lang w:eastAsia="en-GB"/>
              </w:rPr>
            </w:pPr>
            <w:proofErr w:type="spellStart"/>
            <w:r w:rsidRPr="003B373B">
              <w:rPr>
                <w:rFonts w:ascii="Arial" w:eastAsia="Times New Roman" w:hAnsi="Arial" w:cs="Arial"/>
                <w:b w:val="0"/>
                <w:color w:val="000000"/>
                <w:sz w:val="22"/>
                <w:szCs w:val="22"/>
                <w:lang w:eastAsia="en-GB"/>
              </w:rPr>
              <w:t>Hosmer</w:t>
            </w:r>
            <w:proofErr w:type="spellEnd"/>
            <w:r w:rsidRPr="003B373B">
              <w:rPr>
                <w:rFonts w:ascii="Arial" w:eastAsia="Times New Roman" w:hAnsi="Arial" w:cs="Arial"/>
                <w:b w:val="0"/>
                <w:color w:val="000000"/>
                <w:sz w:val="22"/>
                <w:szCs w:val="22"/>
                <w:lang w:eastAsia="en-GB"/>
              </w:rPr>
              <w:t xml:space="preserve"> </w:t>
            </w:r>
            <w:proofErr w:type="spellStart"/>
            <w:r w:rsidRPr="003B373B">
              <w:rPr>
                <w:rFonts w:ascii="Arial" w:eastAsia="Times New Roman" w:hAnsi="Arial" w:cs="Arial"/>
                <w:b w:val="0"/>
                <w:color w:val="000000"/>
                <w:sz w:val="22"/>
                <w:szCs w:val="22"/>
                <w:lang w:eastAsia="en-GB"/>
              </w:rPr>
              <w:t>Lemeshow</w:t>
            </w:r>
            <w:proofErr w:type="spellEnd"/>
            <w:r w:rsidRPr="003B373B">
              <w:rPr>
                <w:rFonts w:ascii="Arial" w:eastAsia="Times New Roman" w:hAnsi="Arial" w:cs="Arial"/>
                <w:b w:val="0"/>
                <w:color w:val="000000"/>
                <w:sz w:val="22"/>
                <w:szCs w:val="22"/>
                <w:lang w:eastAsia="en-GB"/>
              </w:rPr>
              <w:t xml:space="preserve"> </w:t>
            </w:r>
            <w:proofErr w:type="spellStart"/>
            <w:r w:rsidRPr="003B373B">
              <w:rPr>
                <w:rFonts w:ascii="Arial" w:eastAsia="Times New Roman" w:hAnsi="Arial" w:cs="Arial"/>
                <w:b w:val="0"/>
                <w:color w:val="000000"/>
                <w:sz w:val="22"/>
                <w:szCs w:val="22"/>
                <w:lang w:eastAsia="en-GB"/>
              </w:rPr>
              <w:t>test</w:t>
            </w:r>
            <w:proofErr w:type="spellEnd"/>
            <w:r w:rsidRPr="003B373B">
              <w:rPr>
                <w:rFonts w:ascii="Arial" w:eastAsia="Times New Roman" w:hAnsi="Arial" w:cs="Arial"/>
                <w:b w:val="0"/>
                <w:color w:val="000000"/>
                <w:sz w:val="22"/>
                <w:szCs w:val="22"/>
                <w:lang w:eastAsia="en-GB"/>
              </w:rPr>
              <w:t xml:space="preserve"> p-</w:t>
            </w:r>
            <w:proofErr w:type="spellStart"/>
            <w:r w:rsidRPr="003B373B">
              <w:rPr>
                <w:rFonts w:ascii="Arial" w:eastAsia="Times New Roman" w:hAnsi="Arial" w:cs="Arial"/>
                <w:b w:val="0"/>
                <w:color w:val="000000"/>
                <w:sz w:val="22"/>
                <w:szCs w:val="22"/>
                <w:lang w:eastAsia="en-GB"/>
              </w:rPr>
              <w:t>value</w:t>
            </w:r>
            <w:proofErr w:type="spellEnd"/>
          </w:p>
        </w:tc>
        <w:tc>
          <w:tcPr>
            <w:tcW w:w="0" w:type="auto"/>
            <w:tcBorders>
              <w:top w:val="nil"/>
              <w:bottom w:val="single" w:sz="4" w:space="0" w:color="auto"/>
            </w:tcBorders>
            <w:shd w:val="clear" w:color="auto" w:fill="auto"/>
            <w:noWrap/>
          </w:tcPr>
          <w:p w14:paraId="2B166202"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0.784</w:t>
            </w:r>
          </w:p>
        </w:tc>
        <w:tc>
          <w:tcPr>
            <w:tcW w:w="0" w:type="auto"/>
            <w:tcBorders>
              <w:top w:val="nil"/>
              <w:bottom w:val="single" w:sz="4" w:space="0" w:color="auto"/>
            </w:tcBorders>
            <w:shd w:val="clear" w:color="auto" w:fill="auto"/>
            <w:noWrap/>
          </w:tcPr>
          <w:p w14:paraId="14BAB64E"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0.641</w:t>
            </w:r>
          </w:p>
        </w:tc>
        <w:tc>
          <w:tcPr>
            <w:tcW w:w="0" w:type="auto"/>
            <w:tcBorders>
              <w:top w:val="nil"/>
              <w:bottom w:val="single" w:sz="4" w:space="0" w:color="auto"/>
            </w:tcBorders>
            <w:shd w:val="clear" w:color="auto" w:fill="auto"/>
            <w:noWrap/>
          </w:tcPr>
          <w:p w14:paraId="59F07E10" w14:textId="77777777" w:rsidR="003B373B" w:rsidRPr="003B373B" w:rsidRDefault="003B373B" w:rsidP="00180C6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0.672</w:t>
            </w:r>
          </w:p>
        </w:tc>
        <w:tc>
          <w:tcPr>
            <w:tcW w:w="0" w:type="auto"/>
            <w:tcBorders>
              <w:top w:val="nil"/>
              <w:bottom w:val="single" w:sz="4" w:space="0" w:color="auto"/>
              <w:right w:val="nil"/>
            </w:tcBorders>
            <w:shd w:val="clear" w:color="auto" w:fill="auto"/>
            <w:noWrap/>
          </w:tcPr>
          <w:p w14:paraId="7A2120B3"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0.615</w:t>
            </w:r>
          </w:p>
        </w:tc>
      </w:tr>
      <w:tr w:rsidR="003B373B" w:rsidRPr="003B373B" w14:paraId="43654940"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noWrap/>
            <w:hideMark/>
          </w:tcPr>
          <w:p w14:paraId="16D29A9A" w14:textId="77777777" w:rsidR="003B373B" w:rsidRPr="003B373B" w:rsidRDefault="003B373B" w:rsidP="00180C6C">
            <w:pPr>
              <w:rPr>
                <w:rFonts w:ascii="Arial" w:eastAsia="Times New Roman" w:hAnsi="Arial" w:cs="Arial"/>
                <w:b w:val="0"/>
                <w:bCs w:val="0"/>
                <w:color w:val="000000"/>
                <w:sz w:val="22"/>
                <w:szCs w:val="22"/>
                <w:lang w:eastAsia="en-GB"/>
              </w:rPr>
            </w:pPr>
            <w:r w:rsidRPr="003B373B">
              <w:rPr>
                <w:rFonts w:ascii="Arial" w:eastAsia="Times New Roman" w:hAnsi="Arial" w:cs="Arial"/>
                <w:color w:val="000000"/>
                <w:sz w:val="22"/>
                <w:szCs w:val="22"/>
                <w:lang w:eastAsia="en-GB"/>
              </w:rPr>
              <w:t xml:space="preserve">ADDED VALUE </w:t>
            </w:r>
            <w:r w:rsidRPr="003B373B">
              <w:rPr>
                <w:rFonts w:ascii="Arial" w:eastAsia="Times New Roman" w:hAnsi="Arial" w:cs="Arial"/>
                <w:b w:val="0"/>
                <w:color w:val="000000"/>
                <w:sz w:val="22"/>
                <w:szCs w:val="22"/>
                <w:vertAlign w:val="superscript"/>
                <w:lang w:eastAsia="en-GB"/>
              </w:rPr>
              <w:t>(a)</w:t>
            </w:r>
          </w:p>
        </w:tc>
        <w:tc>
          <w:tcPr>
            <w:tcW w:w="0" w:type="auto"/>
            <w:tcBorders>
              <w:top w:val="single" w:sz="4" w:space="0" w:color="auto"/>
              <w:bottom w:val="nil"/>
            </w:tcBorders>
            <w:shd w:val="clear" w:color="auto" w:fill="auto"/>
            <w:noWrap/>
            <w:hideMark/>
          </w:tcPr>
          <w:p w14:paraId="2881C8EF" w14:textId="77777777" w:rsidR="003B373B" w:rsidRPr="003B373B" w:rsidRDefault="003B373B" w:rsidP="00180C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tcPr>
          <w:p w14:paraId="16063B23"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hideMark/>
          </w:tcPr>
          <w:p w14:paraId="08177E0B"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bottom w:val="nil"/>
            </w:tcBorders>
            <w:shd w:val="clear" w:color="auto" w:fill="auto"/>
            <w:noWrap/>
          </w:tcPr>
          <w:p w14:paraId="084B14B0"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r>
      <w:tr w:rsidR="003B373B" w:rsidRPr="003B373B" w14:paraId="09C53E4D"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hideMark/>
          </w:tcPr>
          <w:p w14:paraId="1FB807A0"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NRI, %(CI)</w:t>
            </w:r>
          </w:p>
        </w:tc>
        <w:tc>
          <w:tcPr>
            <w:tcW w:w="0" w:type="auto"/>
            <w:tcBorders>
              <w:top w:val="nil"/>
              <w:bottom w:val="nil"/>
            </w:tcBorders>
            <w:shd w:val="clear" w:color="auto" w:fill="auto"/>
            <w:noWrap/>
            <w:hideMark/>
          </w:tcPr>
          <w:p w14:paraId="720943C3"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nil"/>
            </w:tcBorders>
            <w:shd w:val="clear" w:color="auto" w:fill="auto"/>
            <w:noWrap/>
          </w:tcPr>
          <w:p w14:paraId="68798A58"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60.0 (3.4, 116.6)</w:t>
            </w:r>
          </w:p>
        </w:tc>
        <w:tc>
          <w:tcPr>
            <w:tcW w:w="0" w:type="auto"/>
            <w:tcBorders>
              <w:top w:val="nil"/>
              <w:bottom w:val="nil"/>
            </w:tcBorders>
            <w:shd w:val="clear" w:color="auto" w:fill="auto"/>
            <w:noWrap/>
            <w:hideMark/>
          </w:tcPr>
          <w:p w14:paraId="19BD5193"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70.0 (13.4, 126.6)</w:t>
            </w:r>
          </w:p>
        </w:tc>
        <w:tc>
          <w:tcPr>
            <w:tcW w:w="0" w:type="auto"/>
            <w:tcBorders>
              <w:top w:val="nil"/>
              <w:bottom w:val="nil"/>
              <w:right w:val="nil"/>
            </w:tcBorders>
            <w:shd w:val="clear" w:color="auto" w:fill="auto"/>
            <w:noWrap/>
          </w:tcPr>
          <w:p w14:paraId="0EEF34B2"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26.7 (-29.9, 83.2)</w:t>
            </w:r>
          </w:p>
        </w:tc>
      </w:tr>
      <w:tr w:rsidR="003B373B" w:rsidRPr="003B373B" w14:paraId="012773A9"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hideMark/>
          </w:tcPr>
          <w:p w14:paraId="6EF3B4D6"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 xml:space="preserve">NRI </w:t>
            </w:r>
            <w:proofErr w:type="spellStart"/>
            <w:r w:rsidRPr="003B373B">
              <w:rPr>
                <w:rFonts w:ascii="Arial" w:eastAsia="Times New Roman" w:hAnsi="Arial" w:cs="Arial"/>
                <w:b w:val="0"/>
                <w:color w:val="000000"/>
                <w:sz w:val="22"/>
                <w:szCs w:val="22"/>
                <w:lang w:eastAsia="en-GB"/>
              </w:rPr>
              <w:t>events</w:t>
            </w:r>
            <w:proofErr w:type="spellEnd"/>
            <w:r w:rsidRPr="003B373B">
              <w:rPr>
                <w:rFonts w:ascii="Arial" w:eastAsia="Times New Roman" w:hAnsi="Arial" w:cs="Arial"/>
                <w:b w:val="0"/>
                <w:color w:val="000000"/>
                <w:sz w:val="22"/>
                <w:szCs w:val="22"/>
                <w:lang w:eastAsia="en-GB"/>
              </w:rPr>
              <w:t>, %(CI)</w:t>
            </w:r>
          </w:p>
        </w:tc>
        <w:tc>
          <w:tcPr>
            <w:tcW w:w="0" w:type="auto"/>
            <w:tcBorders>
              <w:top w:val="nil"/>
              <w:bottom w:val="nil"/>
            </w:tcBorders>
            <w:shd w:val="clear" w:color="auto" w:fill="auto"/>
            <w:noWrap/>
            <w:hideMark/>
          </w:tcPr>
          <w:p w14:paraId="166D5DAC" w14:textId="77777777" w:rsidR="003B373B" w:rsidRPr="003B373B" w:rsidRDefault="003B373B" w:rsidP="00180C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nil"/>
            </w:tcBorders>
            <w:shd w:val="clear" w:color="auto" w:fill="auto"/>
            <w:noWrap/>
          </w:tcPr>
          <w:p w14:paraId="7CAF408F"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40.0 (-3.8, 83.8)</w:t>
            </w:r>
          </w:p>
        </w:tc>
        <w:tc>
          <w:tcPr>
            <w:tcW w:w="0" w:type="auto"/>
            <w:tcBorders>
              <w:top w:val="nil"/>
              <w:bottom w:val="nil"/>
            </w:tcBorders>
            <w:shd w:val="clear" w:color="auto" w:fill="auto"/>
            <w:noWrap/>
            <w:hideMark/>
          </w:tcPr>
          <w:p w14:paraId="6A4CAD2D"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30.0 (-13.8, 73.8)</w:t>
            </w:r>
          </w:p>
        </w:tc>
        <w:tc>
          <w:tcPr>
            <w:tcW w:w="0" w:type="auto"/>
            <w:tcBorders>
              <w:top w:val="nil"/>
              <w:bottom w:val="nil"/>
            </w:tcBorders>
            <w:shd w:val="clear" w:color="auto" w:fill="auto"/>
            <w:noWrap/>
          </w:tcPr>
          <w:p w14:paraId="1A9C81AC"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0.0 (-43.8, 43.8)</w:t>
            </w:r>
          </w:p>
        </w:tc>
      </w:tr>
      <w:tr w:rsidR="003B373B" w:rsidRPr="003B373B" w14:paraId="11C7D074"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hideMark/>
          </w:tcPr>
          <w:p w14:paraId="618CDB81"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NRI non-</w:t>
            </w:r>
            <w:proofErr w:type="spellStart"/>
            <w:r w:rsidRPr="003B373B">
              <w:rPr>
                <w:rFonts w:ascii="Arial" w:eastAsia="Times New Roman" w:hAnsi="Arial" w:cs="Arial"/>
                <w:b w:val="0"/>
                <w:color w:val="000000"/>
                <w:sz w:val="22"/>
                <w:szCs w:val="22"/>
                <w:lang w:eastAsia="en-GB"/>
              </w:rPr>
              <w:t>events</w:t>
            </w:r>
            <w:proofErr w:type="spellEnd"/>
            <w:r w:rsidRPr="003B373B">
              <w:rPr>
                <w:rFonts w:ascii="Arial" w:eastAsia="Times New Roman" w:hAnsi="Arial" w:cs="Arial"/>
                <w:b w:val="0"/>
                <w:color w:val="000000"/>
                <w:sz w:val="22"/>
                <w:szCs w:val="22"/>
                <w:lang w:eastAsia="en-GB"/>
              </w:rPr>
              <w:t>, %(CI)</w:t>
            </w:r>
          </w:p>
        </w:tc>
        <w:tc>
          <w:tcPr>
            <w:tcW w:w="0" w:type="auto"/>
            <w:tcBorders>
              <w:top w:val="nil"/>
              <w:bottom w:val="single" w:sz="4" w:space="0" w:color="auto"/>
            </w:tcBorders>
            <w:shd w:val="clear" w:color="auto" w:fill="auto"/>
            <w:noWrap/>
            <w:hideMark/>
          </w:tcPr>
          <w:p w14:paraId="73CDDE25"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nil"/>
              <w:bottom w:val="single" w:sz="4" w:space="0" w:color="auto"/>
            </w:tcBorders>
            <w:shd w:val="clear" w:color="auto" w:fill="auto"/>
            <w:noWrap/>
          </w:tcPr>
          <w:p w14:paraId="3BD02787"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20.0 (-15.8, 55.8)</w:t>
            </w:r>
          </w:p>
        </w:tc>
        <w:tc>
          <w:tcPr>
            <w:tcW w:w="0" w:type="auto"/>
            <w:tcBorders>
              <w:top w:val="nil"/>
              <w:bottom w:val="single" w:sz="4" w:space="0" w:color="auto"/>
            </w:tcBorders>
            <w:shd w:val="clear" w:color="auto" w:fill="auto"/>
            <w:noWrap/>
            <w:hideMark/>
          </w:tcPr>
          <w:p w14:paraId="3B894A13"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40.0 (4.2, 75.8)</w:t>
            </w:r>
          </w:p>
        </w:tc>
        <w:tc>
          <w:tcPr>
            <w:tcW w:w="0" w:type="auto"/>
            <w:tcBorders>
              <w:top w:val="nil"/>
              <w:bottom w:val="single" w:sz="4" w:space="0" w:color="auto"/>
              <w:right w:val="nil"/>
            </w:tcBorders>
            <w:shd w:val="clear" w:color="auto" w:fill="auto"/>
            <w:noWrap/>
          </w:tcPr>
          <w:p w14:paraId="1CEB8130"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26.7 (-9.12, 62.5)</w:t>
            </w:r>
          </w:p>
        </w:tc>
      </w:tr>
      <w:tr w:rsidR="003B373B" w:rsidRPr="003B373B" w14:paraId="322EB610"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3994A697" w14:textId="77777777" w:rsidR="003B373B" w:rsidRPr="003B373B" w:rsidRDefault="003B373B" w:rsidP="00180C6C">
            <w:pPr>
              <w:rPr>
                <w:rFonts w:ascii="Arial" w:eastAsia="Times New Roman" w:hAnsi="Arial" w:cs="Arial"/>
                <w:b w:val="0"/>
                <w:bCs w:val="0"/>
                <w:color w:val="000000"/>
                <w:sz w:val="22"/>
                <w:szCs w:val="22"/>
                <w:lang w:eastAsia="en-GB"/>
              </w:rPr>
            </w:pPr>
          </w:p>
        </w:tc>
        <w:tc>
          <w:tcPr>
            <w:tcW w:w="0" w:type="auto"/>
            <w:tcBorders>
              <w:top w:val="single" w:sz="4" w:space="0" w:color="auto"/>
            </w:tcBorders>
            <w:shd w:val="clear" w:color="auto" w:fill="auto"/>
            <w:noWrap/>
            <w:hideMark/>
          </w:tcPr>
          <w:p w14:paraId="16C7CE64" w14:textId="77777777" w:rsidR="003B373B" w:rsidRPr="003B373B" w:rsidRDefault="003B373B" w:rsidP="00180C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tcBorders>
            <w:shd w:val="clear" w:color="auto" w:fill="auto"/>
            <w:noWrap/>
          </w:tcPr>
          <w:p w14:paraId="0A459C83"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tcBorders>
            <w:shd w:val="clear" w:color="auto" w:fill="auto"/>
            <w:noWrap/>
            <w:hideMark/>
          </w:tcPr>
          <w:p w14:paraId="2B91FA53"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tcBorders>
              <w:top w:val="single" w:sz="4" w:space="0" w:color="auto"/>
            </w:tcBorders>
            <w:shd w:val="clear" w:color="auto" w:fill="auto"/>
            <w:noWrap/>
          </w:tcPr>
          <w:p w14:paraId="1A3D067D"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r>
      <w:tr w:rsidR="003B373B" w:rsidRPr="003B373B" w14:paraId="63041550"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0B56AF"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IDI</w:t>
            </w:r>
          </w:p>
        </w:tc>
        <w:tc>
          <w:tcPr>
            <w:tcW w:w="0" w:type="auto"/>
            <w:shd w:val="clear" w:color="auto" w:fill="auto"/>
            <w:noWrap/>
            <w:hideMark/>
          </w:tcPr>
          <w:p w14:paraId="5F094D5E"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tc>
        <w:tc>
          <w:tcPr>
            <w:tcW w:w="0" w:type="auto"/>
            <w:shd w:val="clear" w:color="auto" w:fill="auto"/>
            <w:noWrap/>
          </w:tcPr>
          <w:p w14:paraId="02E9E82B"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0.018 (-0.017, 0.054)</w:t>
            </w:r>
          </w:p>
        </w:tc>
        <w:tc>
          <w:tcPr>
            <w:tcW w:w="0" w:type="auto"/>
            <w:shd w:val="clear" w:color="auto" w:fill="auto"/>
            <w:noWrap/>
            <w:hideMark/>
          </w:tcPr>
          <w:p w14:paraId="627C6501"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0.130 (0.029, 0.231)</w:t>
            </w:r>
          </w:p>
        </w:tc>
        <w:tc>
          <w:tcPr>
            <w:tcW w:w="0" w:type="auto"/>
            <w:tcBorders>
              <w:right w:val="nil"/>
            </w:tcBorders>
            <w:shd w:val="clear" w:color="auto" w:fill="auto"/>
            <w:noWrap/>
          </w:tcPr>
          <w:p w14:paraId="593BB7B9"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0.029 (-0.017, 0.075)</w:t>
            </w:r>
          </w:p>
        </w:tc>
      </w:tr>
      <w:tr w:rsidR="003B373B" w:rsidRPr="003B373B" w14:paraId="21BAF667" w14:textId="77777777" w:rsidTr="00180C6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EB2877D"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 xml:space="preserve">IDI </w:t>
            </w:r>
            <w:proofErr w:type="spellStart"/>
            <w:r w:rsidRPr="003B373B">
              <w:rPr>
                <w:rFonts w:ascii="Arial" w:eastAsia="Times New Roman" w:hAnsi="Arial" w:cs="Arial"/>
                <w:b w:val="0"/>
                <w:color w:val="000000"/>
                <w:sz w:val="22"/>
                <w:szCs w:val="22"/>
                <w:lang w:eastAsia="en-GB"/>
              </w:rPr>
              <w:t>events</w:t>
            </w:r>
            <w:proofErr w:type="spellEnd"/>
          </w:p>
        </w:tc>
        <w:tc>
          <w:tcPr>
            <w:tcW w:w="0" w:type="auto"/>
            <w:shd w:val="clear" w:color="auto" w:fill="auto"/>
            <w:noWrap/>
            <w:hideMark/>
          </w:tcPr>
          <w:p w14:paraId="12048FB1" w14:textId="77777777" w:rsidR="003B373B" w:rsidRPr="003B373B" w:rsidRDefault="003B373B" w:rsidP="00180C6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p>
        </w:tc>
        <w:tc>
          <w:tcPr>
            <w:tcW w:w="0" w:type="auto"/>
            <w:shd w:val="clear" w:color="auto" w:fill="auto"/>
            <w:noWrap/>
          </w:tcPr>
          <w:p w14:paraId="54094581" w14:textId="77777777" w:rsidR="003B373B" w:rsidRPr="003B373B" w:rsidRDefault="003B373B" w:rsidP="00180C6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0.011 (-0.021, 0.043)</w:t>
            </w:r>
          </w:p>
        </w:tc>
        <w:tc>
          <w:tcPr>
            <w:tcW w:w="0" w:type="auto"/>
            <w:shd w:val="clear" w:color="auto" w:fill="auto"/>
            <w:noWrap/>
            <w:hideMark/>
          </w:tcPr>
          <w:p w14:paraId="02BC354B"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0.078 (-0.010, 0.166)</w:t>
            </w:r>
          </w:p>
        </w:tc>
        <w:tc>
          <w:tcPr>
            <w:tcW w:w="0" w:type="auto"/>
            <w:shd w:val="clear" w:color="auto" w:fill="auto"/>
            <w:noWrap/>
          </w:tcPr>
          <w:p w14:paraId="0955200B" w14:textId="77777777" w:rsidR="003B373B" w:rsidRPr="003B373B" w:rsidRDefault="003B373B" w:rsidP="00180C6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0.017 (-0.019, 0.054)</w:t>
            </w:r>
          </w:p>
        </w:tc>
      </w:tr>
      <w:tr w:rsidR="003B373B" w:rsidRPr="003B373B" w14:paraId="3DBB7D9A" w14:textId="77777777" w:rsidTr="00180C6C">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8BA4ED" w14:textId="77777777" w:rsidR="003B373B" w:rsidRPr="003B373B" w:rsidRDefault="003B373B" w:rsidP="00180C6C">
            <w:pPr>
              <w:jc w:val="right"/>
              <w:rPr>
                <w:rFonts w:ascii="Arial" w:eastAsia="Times New Roman" w:hAnsi="Arial" w:cs="Arial"/>
                <w:b w:val="0"/>
                <w:color w:val="000000"/>
                <w:sz w:val="22"/>
                <w:szCs w:val="22"/>
                <w:lang w:eastAsia="en-GB"/>
              </w:rPr>
            </w:pPr>
            <w:r w:rsidRPr="003B373B">
              <w:rPr>
                <w:rFonts w:ascii="Arial" w:eastAsia="Times New Roman" w:hAnsi="Arial" w:cs="Arial"/>
                <w:b w:val="0"/>
                <w:color w:val="000000"/>
                <w:sz w:val="22"/>
                <w:szCs w:val="22"/>
                <w:lang w:eastAsia="en-GB"/>
              </w:rPr>
              <w:t>IDI non-</w:t>
            </w:r>
            <w:proofErr w:type="spellStart"/>
            <w:r w:rsidRPr="003B373B">
              <w:rPr>
                <w:rFonts w:ascii="Arial" w:eastAsia="Times New Roman" w:hAnsi="Arial" w:cs="Arial"/>
                <w:b w:val="0"/>
                <w:color w:val="000000"/>
                <w:sz w:val="22"/>
                <w:szCs w:val="22"/>
                <w:lang w:eastAsia="en-GB"/>
              </w:rPr>
              <w:t>events</w:t>
            </w:r>
            <w:proofErr w:type="spellEnd"/>
          </w:p>
        </w:tc>
        <w:tc>
          <w:tcPr>
            <w:tcW w:w="0" w:type="auto"/>
            <w:shd w:val="clear" w:color="auto" w:fill="auto"/>
            <w:noWrap/>
            <w:hideMark/>
          </w:tcPr>
          <w:p w14:paraId="3442E8AF"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p>
        </w:tc>
        <w:tc>
          <w:tcPr>
            <w:tcW w:w="0" w:type="auto"/>
            <w:shd w:val="clear" w:color="auto" w:fill="auto"/>
            <w:noWrap/>
          </w:tcPr>
          <w:p w14:paraId="05E555D6" w14:textId="77777777" w:rsidR="003B373B" w:rsidRPr="003B373B" w:rsidRDefault="003B373B" w:rsidP="00180C6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 xml:space="preserve">   0.007 (-0.008, 0.023)</w:t>
            </w:r>
          </w:p>
        </w:tc>
        <w:tc>
          <w:tcPr>
            <w:tcW w:w="0" w:type="auto"/>
            <w:shd w:val="clear" w:color="auto" w:fill="auto"/>
            <w:noWrap/>
            <w:hideMark/>
          </w:tcPr>
          <w:p w14:paraId="4A1A9CD0"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0.052 (0.001, 0.103)</w:t>
            </w:r>
          </w:p>
        </w:tc>
        <w:tc>
          <w:tcPr>
            <w:tcW w:w="0" w:type="auto"/>
            <w:tcBorders>
              <w:bottom w:val="single" w:sz="8" w:space="0" w:color="5B9BD5" w:themeColor="accent1"/>
              <w:right w:val="nil"/>
            </w:tcBorders>
            <w:shd w:val="clear" w:color="auto" w:fill="auto"/>
            <w:noWrap/>
          </w:tcPr>
          <w:p w14:paraId="79FEC43E" w14:textId="77777777" w:rsidR="003B373B" w:rsidRPr="003B373B" w:rsidRDefault="003B373B" w:rsidP="00180C6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en-GB"/>
              </w:rPr>
            </w:pPr>
            <w:r w:rsidRPr="003B373B">
              <w:rPr>
                <w:rFonts w:ascii="Arial" w:eastAsia="Times New Roman" w:hAnsi="Arial" w:cs="Arial"/>
                <w:color w:val="000000"/>
                <w:sz w:val="22"/>
                <w:szCs w:val="22"/>
                <w:lang w:eastAsia="en-GB"/>
              </w:rPr>
              <w:t>0.012 (-0.017, 0.040)</w:t>
            </w:r>
          </w:p>
        </w:tc>
      </w:tr>
    </w:tbl>
    <w:p w14:paraId="64078EB3" w14:textId="77777777" w:rsidR="003B373B" w:rsidRDefault="003B373B" w:rsidP="003B373B"/>
    <w:p w14:paraId="10FA5AC6" w14:textId="77777777" w:rsidR="003B373B" w:rsidRDefault="003B373B" w:rsidP="003B373B"/>
    <w:p w14:paraId="6F790710" w14:textId="77777777" w:rsidR="003B373B" w:rsidRDefault="003B373B" w:rsidP="003B373B"/>
    <w:p w14:paraId="1110E64E" w14:textId="77777777" w:rsidR="003B373B" w:rsidRDefault="003B373B" w:rsidP="003B373B"/>
    <w:p w14:paraId="505FEA9E" w14:textId="77777777" w:rsidR="003B373B" w:rsidRDefault="003B373B" w:rsidP="003B373B"/>
    <w:p w14:paraId="0AB896A7" w14:textId="77777777" w:rsidR="003B373B" w:rsidRDefault="003B373B" w:rsidP="003B373B"/>
    <w:p w14:paraId="667843AE" w14:textId="77777777" w:rsidR="003B373B" w:rsidRDefault="003B373B" w:rsidP="003B373B"/>
    <w:p w14:paraId="2EC96133" w14:textId="77777777" w:rsidR="003B373B" w:rsidRDefault="003B373B" w:rsidP="003B373B"/>
    <w:p w14:paraId="7EA2A615" w14:textId="77777777" w:rsidR="003B373B" w:rsidRDefault="003B373B" w:rsidP="003B373B"/>
    <w:p w14:paraId="40CA7B8D" w14:textId="77777777" w:rsidR="003B373B" w:rsidRDefault="003B373B" w:rsidP="003B373B"/>
    <w:p w14:paraId="32F296E2" w14:textId="77777777" w:rsidR="003B373B" w:rsidRDefault="003B373B" w:rsidP="003B373B"/>
    <w:p w14:paraId="1F931A98" w14:textId="77777777" w:rsidR="003B373B" w:rsidRDefault="003B373B" w:rsidP="003B373B"/>
    <w:p w14:paraId="696FFF6D" w14:textId="77777777" w:rsidR="003B373B" w:rsidRDefault="003B373B" w:rsidP="003B373B"/>
    <w:p w14:paraId="08A6DA02" w14:textId="77777777" w:rsidR="003B373B" w:rsidRDefault="003B373B" w:rsidP="003B373B"/>
    <w:p w14:paraId="0406374D" w14:textId="77777777" w:rsidR="003B373B" w:rsidRDefault="003B373B" w:rsidP="003B373B"/>
    <w:p w14:paraId="7D843DC4" w14:textId="77777777" w:rsidR="003B373B" w:rsidRDefault="003B373B" w:rsidP="003B373B"/>
    <w:p w14:paraId="55427C44" w14:textId="77777777" w:rsidR="003B373B" w:rsidRDefault="003B373B" w:rsidP="003B373B"/>
    <w:p w14:paraId="72A6247A" w14:textId="77777777" w:rsidR="003B373B" w:rsidRDefault="003B373B" w:rsidP="003B373B"/>
    <w:p w14:paraId="6AD24C1C" w14:textId="77777777" w:rsidR="003B373B" w:rsidRDefault="003B373B" w:rsidP="003B373B"/>
    <w:p w14:paraId="20BECEAD" w14:textId="77777777" w:rsidR="003B373B" w:rsidRDefault="003B373B" w:rsidP="003B373B"/>
    <w:p w14:paraId="42D37590" w14:textId="77777777" w:rsidR="008A1801" w:rsidRDefault="008A1801" w:rsidP="008A1801"/>
    <w:p w14:paraId="4551F658" w14:textId="77777777" w:rsidR="008A1801" w:rsidRDefault="008A1801" w:rsidP="008A1801"/>
    <w:p w14:paraId="7464706C" w14:textId="77777777" w:rsidR="008A1801" w:rsidRDefault="008A1801" w:rsidP="008A1801"/>
    <w:p w14:paraId="4C39D300" w14:textId="77777777" w:rsidR="008A1801" w:rsidRDefault="008A1801" w:rsidP="008A1801"/>
    <w:p w14:paraId="616072E7" w14:textId="77777777" w:rsidR="008A1801" w:rsidRDefault="008A1801" w:rsidP="008A1801"/>
    <w:p w14:paraId="4C24E1D5" w14:textId="77777777" w:rsidR="008A1801" w:rsidRDefault="008A1801" w:rsidP="008A1801"/>
    <w:p w14:paraId="3DF88105" w14:textId="77777777" w:rsidR="008A1801" w:rsidRDefault="008A1801" w:rsidP="008A1801"/>
    <w:p w14:paraId="017A7217" w14:textId="77777777" w:rsidR="008A1801" w:rsidRDefault="008A1801" w:rsidP="008A1801"/>
    <w:p w14:paraId="51778497" w14:textId="77777777" w:rsidR="008A1801" w:rsidRDefault="008A1801" w:rsidP="008A1801"/>
    <w:p w14:paraId="71268373" w14:textId="77777777" w:rsidR="008A1801" w:rsidRDefault="008A1801" w:rsidP="008A1801"/>
    <w:p w14:paraId="6D8DBBF9" w14:textId="77777777" w:rsidR="008A1801" w:rsidRDefault="008A1801" w:rsidP="008A1801"/>
    <w:p w14:paraId="7171408E" w14:textId="77777777" w:rsidR="008A1801" w:rsidRDefault="008A1801" w:rsidP="008A1801"/>
    <w:p w14:paraId="20C68697" w14:textId="77777777" w:rsidR="008A1801" w:rsidRDefault="008A1801" w:rsidP="008A1801"/>
    <w:p w14:paraId="7B262432" w14:textId="77777777" w:rsidR="008A1801" w:rsidRDefault="008A1801" w:rsidP="008A1801"/>
    <w:p w14:paraId="01478E1A" w14:textId="77777777" w:rsidR="008A1801" w:rsidRDefault="008A1801" w:rsidP="008A1801"/>
    <w:p w14:paraId="31231958" w14:textId="77777777" w:rsidR="008A1801" w:rsidRDefault="008A1801" w:rsidP="008A1801"/>
    <w:p w14:paraId="2A900AA8" w14:textId="77777777" w:rsidR="008A1801" w:rsidRDefault="008A1801" w:rsidP="008A1801"/>
    <w:p w14:paraId="72F58B29" w14:textId="77777777" w:rsidR="008A1801" w:rsidRDefault="008A1801" w:rsidP="008A1801"/>
    <w:p w14:paraId="50E887F6" w14:textId="77777777" w:rsidR="008A1801" w:rsidRDefault="008A1801" w:rsidP="008A1801"/>
    <w:p w14:paraId="03B4C55B" w14:textId="77777777" w:rsidR="008A1801" w:rsidRDefault="008A1801" w:rsidP="008A1801"/>
    <w:p w14:paraId="4903F77E" w14:textId="77777777" w:rsidR="008A1801" w:rsidRDefault="008A1801" w:rsidP="008A1801"/>
    <w:p w14:paraId="383A88E5" w14:textId="77777777" w:rsidR="008A1801" w:rsidRDefault="008A1801" w:rsidP="008A1801"/>
    <w:p w14:paraId="508D8477" w14:textId="77777777" w:rsidR="008A1801" w:rsidRDefault="008A1801" w:rsidP="008A1801"/>
    <w:p w14:paraId="4823F19C" w14:textId="7D33EAD5" w:rsidR="00C903F1" w:rsidRPr="00C903F1" w:rsidRDefault="00C903F1" w:rsidP="00C903F1">
      <w:pPr>
        <w:rPr>
          <w:lang w:val="en-US"/>
        </w:rPr>
      </w:pPr>
    </w:p>
    <w:sectPr w:rsidR="00C903F1" w:rsidRPr="00C903F1" w:rsidSect="008A1801">
      <w:endnotePr>
        <w:numFmt w:val="decimal"/>
      </w:endnotePr>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F324" w14:textId="77777777" w:rsidR="00132507" w:rsidRDefault="00132507" w:rsidP="00C903F1">
      <w:r>
        <w:separator/>
      </w:r>
    </w:p>
  </w:endnote>
  <w:endnote w:type="continuationSeparator" w:id="0">
    <w:p w14:paraId="39F65F46" w14:textId="77777777" w:rsidR="00132507" w:rsidRDefault="00132507" w:rsidP="00C9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DC4CA" w14:textId="77777777" w:rsidR="00132507" w:rsidRDefault="00132507" w:rsidP="00C903F1">
      <w:r>
        <w:separator/>
      </w:r>
    </w:p>
  </w:footnote>
  <w:footnote w:type="continuationSeparator" w:id="0">
    <w:p w14:paraId="091A0F56" w14:textId="77777777" w:rsidR="00132507" w:rsidRDefault="00132507" w:rsidP="00C90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F1"/>
    <w:rsid w:val="000533D6"/>
    <w:rsid w:val="000A3D9D"/>
    <w:rsid w:val="00110416"/>
    <w:rsid w:val="00132507"/>
    <w:rsid w:val="002C6AE1"/>
    <w:rsid w:val="003B373B"/>
    <w:rsid w:val="00415A9F"/>
    <w:rsid w:val="004D23F5"/>
    <w:rsid w:val="004E707F"/>
    <w:rsid w:val="00504A95"/>
    <w:rsid w:val="0057647C"/>
    <w:rsid w:val="005B3D9A"/>
    <w:rsid w:val="008A1801"/>
    <w:rsid w:val="008B05A3"/>
    <w:rsid w:val="008F54C1"/>
    <w:rsid w:val="00975461"/>
    <w:rsid w:val="00976FB9"/>
    <w:rsid w:val="00B9176E"/>
    <w:rsid w:val="00C25C60"/>
    <w:rsid w:val="00C61703"/>
    <w:rsid w:val="00C72FAE"/>
    <w:rsid w:val="00C903F1"/>
    <w:rsid w:val="00CA0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4F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ter"/>
    <w:semiHidden/>
    <w:rsid w:val="00C903F1"/>
    <w:pPr>
      <w:spacing w:line="360" w:lineRule="auto"/>
    </w:pPr>
    <w:rPr>
      <w:rFonts w:eastAsia="MS Mincho" w:cs="Arial"/>
      <w:sz w:val="20"/>
      <w:szCs w:val="20"/>
      <w:lang w:val="en-GB" w:eastAsia="en-GB"/>
    </w:rPr>
  </w:style>
  <w:style w:type="character" w:customStyle="1" w:styleId="TextodenotadefimCarter">
    <w:name w:val="Texto de nota de fim Caráter"/>
    <w:basedOn w:val="Tipodeletrapredefinidodopargrafo"/>
    <w:link w:val="Textodenotadefim"/>
    <w:semiHidden/>
    <w:rsid w:val="00C903F1"/>
    <w:rPr>
      <w:rFonts w:eastAsia="MS Mincho" w:cs="Arial"/>
      <w:sz w:val="20"/>
      <w:szCs w:val="20"/>
      <w:lang w:val="en-GB" w:eastAsia="en-GB"/>
    </w:rPr>
  </w:style>
  <w:style w:type="character" w:styleId="Refdenotadefim">
    <w:name w:val="endnote reference"/>
    <w:basedOn w:val="Tipodeletrapredefinidodopargrafo"/>
    <w:semiHidden/>
    <w:rsid w:val="00C903F1"/>
    <w:rPr>
      <w:vertAlign w:val="superscript"/>
    </w:rPr>
  </w:style>
  <w:style w:type="table" w:styleId="SombreadoClaro-Cor1">
    <w:name w:val="Light Shading Accent 1"/>
    <w:basedOn w:val="Tabelanormal"/>
    <w:uiPriority w:val="60"/>
    <w:rsid w:val="008A1801"/>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569</Words>
  <Characters>3075</Characters>
  <Application>Microsoft Macintosh Word</Application>
  <DocSecurity>0</DocSecurity>
  <Lines>25</Lines>
  <Paragraphs>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Statistical analysis – Supplemental information</vt:lpstr>
    </vt:vector>
  </TitlesOfParts>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5</cp:revision>
  <dcterms:created xsi:type="dcterms:W3CDTF">2017-01-08T08:21:00Z</dcterms:created>
  <dcterms:modified xsi:type="dcterms:W3CDTF">2017-03-25T14:42:00Z</dcterms:modified>
</cp:coreProperties>
</file>