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7732" w14:textId="77777777" w:rsidR="00C00011" w:rsidRDefault="00C000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CONSORT Statement 2006 - Checklist for Non-inferiority and Equivalence Trials  </w:t>
      </w:r>
    </w:p>
    <w:p w14:paraId="6DF6A270" w14:textId="77777777" w:rsidR="00C00011" w:rsidRDefault="00C000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Items to include when reporting a non-inferiority or equivalence randomized trial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29C28478" w14:textId="77777777" w:rsidR="00C00011" w:rsidRDefault="00C0001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027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684"/>
        <w:gridCol w:w="6030"/>
        <w:gridCol w:w="1350"/>
      </w:tblGrid>
      <w:tr w:rsidR="00C00011" w14:paraId="4A1FB4B5" w14:textId="77777777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DE1FF"/>
          </w:tcPr>
          <w:p w14:paraId="2660CB15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SECTION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And topic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DE1FF"/>
          </w:tcPr>
          <w:p w14:paraId="6A5BB62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DE1FF"/>
          </w:tcPr>
          <w:p w14:paraId="5B67C19F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Descriptor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CDE1FF"/>
          </w:tcPr>
          <w:p w14:paraId="367BC73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Reported on</w:t>
            </w:r>
          </w:p>
          <w:p w14:paraId="4596ED7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Page #</w:t>
            </w:r>
          </w:p>
        </w:tc>
      </w:tr>
      <w:tr w:rsidR="00C00011" w14:paraId="720CBA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64677C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TITLE &amp; ABSTRACT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E2D0D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1DAC9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>
                <w:rPr>
                  <w:rFonts w:ascii="Times New Roman" w:hAnsi="Times New Roman"/>
                  <w:sz w:val="20"/>
                  <w:szCs w:val="20"/>
                </w:rPr>
                <w:t>How participants were allocated to interventions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(e.g., "random allocation", "randomized", or "randomly assigned"),</w:t>
            </w:r>
          </w:p>
          <w:p w14:paraId="69E32A55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specifying that the trial is a non-inferiority or equivalence  trial.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ADBEC8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C00011" w14:paraId="1BF137C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56C07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Background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22ECC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E33E4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>
                <w:rPr>
                  <w:rFonts w:ascii="Times New Roman" w:hAnsi="Times New Roman"/>
                  <w:sz w:val="20"/>
                  <w:szCs w:val="20"/>
                </w:rPr>
                <w:t>Scientific background and explanation of rationale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AD90069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including the rationale for using a non-inferiority or equivalence design.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1F1951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C00011" w14:paraId="554E24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F5650C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METHODS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Participants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32471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E0D0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Fonts w:ascii="Times New Roman" w:hAnsi="Times New Roman"/>
                  <w:sz w:val="20"/>
                  <w:szCs w:val="20"/>
                </w:rPr>
                <w:t>Eligibility criteria for participants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(detailing whether participants in the non-inferiority or equivalence trial are similar to those in any trial(s) that established efficacy of the reference treatment) and the </w:t>
            </w:r>
            <w:hyperlink r:id="rId7" w:history="1">
              <w:r>
                <w:rPr>
                  <w:rFonts w:ascii="Times New Roman" w:hAnsi="Times New Roman"/>
                  <w:sz w:val="20"/>
                  <w:szCs w:val="20"/>
                </w:rPr>
                <w:t>settings and locations where the data were collected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CA5BC6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  <w:p w14:paraId="4D3A6C0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011" w14:paraId="1151765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C7F25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Interventions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A89B04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4FD72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Fonts w:ascii="Times New Roman" w:hAnsi="Times New Roman"/>
                  <w:sz w:val="20"/>
                  <w:szCs w:val="20"/>
                </w:rPr>
                <w:t>Precise details of the interventions intended for each group detailing whether the reference treatment in the non-inferiority or equivalence trial is identical (or very  similar) to that in any trial(s) that established efficacy,  and how and when they were actually administered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FCA4F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C00011" w14:paraId="003C751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36B76E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Objectives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7FB83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E8908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>
                <w:rPr>
                  <w:rFonts w:ascii="Times New Roman" w:hAnsi="Times New Roman"/>
                  <w:sz w:val="20"/>
                  <w:szCs w:val="20"/>
                </w:rPr>
                <w:t>Specific objectives and hypotheses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 including the hypothesis concerning non-inferiority or equivalence.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BFC7C61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0011" w14:paraId="5F3DCE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64199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Outcomes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69ED4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78259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>
                <w:rPr>
                  <w:rFonts w:ascii="Times New Roman" w:hAnsi="Times New Roman"/>
                  <w:sz w:val="20"/>
                  <w:szCs w:val="20"/>
                </w:rPr>
                <w:t>Clearly defined primary and secondary outcome measures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detailing whether the outcomes in the non-inferiority or equivalence trial are identical (or very similar) to those in any trial(s) that established efficacy of the reference treatment and, when applicable, any </w:t>
            </w:r>
            <w:hyperlink r:id="rId11" w:history="1">
              <w:r>
                <w:rPr>
                  <w:rFonts w:ascii="Times New Roman" w:hAnsi="Times New Roman"/>
                  <w:sz w:val="20"/>
                  <w:szCs w:val="20"/>
                </w:rPr>
                <w:t>methods used to enhance the quality of measurements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(e.g., multiple observations, training of assessors).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473EB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00011" w14:paraId="130E86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16547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Sample size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B41DBF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E5F62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>
                <w:rPr>
                  <w:rFonts w:ascii="Times New Roman" w:hAnsi="Times New Roman"/>
                  <w:sz w:val="20"/>
                  <w:szCs w:val="20"/>
                </w:rPr>
                <w:t>How sample size was determined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detailing whether it was calculated using a non-inferiority or equivalence criterion and specifying the margin of equivalence with the rationale for its choice.  When applicable, </w:t>
            </w:r>
            <w:hyperlink r:id="rId13" w:history="1">
              <w:r>
                <w:rPr>
                  <w:rFonts w:ascii="Times New Roman" w:hAnsi="Times New Roman"/>
                  <w:sz w:val="20"/>
                  <w:szCs w:val="20"/>
                </w:rPr>
                <w:t>explanation of any interim analyses and stopping rules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(and whether related to a non-inferiority or equivalence hypothesis).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21718F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</w:tr>
      <w:tr w:rsidR="00C00011" w14:paraId="41A281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38261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Randomization --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Sequence generation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1A03A5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0A88C4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>
                <w:rPr>
                  <w:rFonts w:ascii="Times New Roman" w:hAnsi="Times New Roman"/>
                  <w:sz w:val="20"/>
                  <w:szCs w:val="20"/>
                </w:rPr>
                <w:t>Method used to generate the random allocation sequence, including details of any restrictions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(e.g., blocking, stratification)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2D870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0011" w14:paraId="20B73CC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509574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Randomization --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Allocation concealment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24275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3C48A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>
                <w:rPr>
                  <w:rFonts w:ascii="Times New Roman" w:hAnsi="Times New Roman"/>
                  <w:sz w:val="20"/>
                  <w:szCs w:val="20"/>
                </w:rPr>
                <w:t>Method used to implement the random allocation sequence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(e.g., numbered containers or central telephone), clarifying whether the sequence was concealed until interventions were assigned.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BBB6FA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0011" w14:paraId="46AE84C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A443D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Randomization --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Implementation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CC4263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BA64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>
                <w:rPr>
                  <w:rFonts w:ascii="Times New Roman" w:hAnsi="Times New Roman"/>
                  <w:sz w:val="20"/>
                  <w:szCs w:val="20"/>
                </w:rPr>
                <w:t>Who generated the allocation sequence, who enrolled participants, and who assigned participants to their groups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C6FB9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0011" w14:paraId="2DBAF9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27C31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Blinding (masking)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74478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E9281E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>
                <w:rPr>
                  <w:rFonts w:ascii="Times New Roman" w:hAnsi="Times New Roman"/>
                  <w:sz w:val="20"/>
                  <w:szCs w:val="20"/>
                </w:rPr>
                <w:t>Whether or not participants, those administering the interventions, and those assessing the outcomes were blinded to group assignment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. If done, </w:t>
            </w:r>
            <w:hyperlink r:id="rId18" w:history="1">
              <w:r>
                <w:rPr>
                  <w:rFonts w:ascii="Times New Roman" w:hAnsi="Times New Roman"/>
                  <w:sz w:val="20"/>
                  <w:szCs w:val="20"/>
                </w:rPr>
                <w:t>how the success of blinding was evaluated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6B4B61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0011" w14:paraId="35E60FA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FF6AA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Statistical methods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AA822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4F3A4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>
                <w:rPr>
                  <w:rFonts w:ascii="Times New Roman" w:hAnsi="Times New Roman"/>
                  <w:sz w:val="20"/>
                  <w:szCs w:val="20"/>
                </w:rPr>
                <w:t>Statistical methods used to compare groups for primary outcome(s)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specifying whether a one or two-sided confidence interval approach was used.  </w:t>
            </w:r>
            <w:hyperlink r:id="rId20" w:history="1">
              <w:r>
                <w:rPr>
                  <w:rFonts w:ascii="Times New Roman" w:hAnsi="Times New Roman"/>
                  <w:sz w:val="20"/>
                  <w:szCs w:val="20"/>
                </w:rPr>
                <w:t>Methods for additional analyses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 such as subgroup analyses and adjusted analyses.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37B8D3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00011" w14:paraId="335406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F3B091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</w:t>
            </w:r>
          </w:p>
          <w:p w14:paraId="00C9934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Participant flow</w:t>
            </w:r>
          </w:p>
          <w:p w14:paraId="5023D42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8E88F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9B59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>
                <w:rPr>
                  <w:rFonts w:ascii="Times New Roman" w:hAnsi="Times New Roman"/>
                  <w:sz w:val="20"/>
                  <w:szCs w:val="20"/>
                </w:rPr>
                <w:t>Flow of participants through each stage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(a diagram is strongly recommended). Specifically, for each group report the numbers of participants randomly assigned, receiving intended treatment, completing the study protocol, and analyzed for the primary outcome. </w:t>
            </w:r>
            <w:hyperlink r:id="rId22" w:history="1">
              <w:r>
                <w:rPr>
                  <w:rFonts w:ascii="Times New Roman" w:hAnsi="Times New Roman"/>
                  <w:sz w:val="20"/>
                  <w:szCs w:val="20"/>
                </w:rPr>
                <w:t>Describe protocol deviations from study as planned, together with reasons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728225F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49BB590C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Figure 1</w:t>
            </w:r>
          </w:p>
        </w:tc>
      </w:tr>
      <w:tr w:rsidR="00C00011" w14:paraId="3AF6B10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D918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Recruitment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154E4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99A6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>
                <w:rPr>
                  <w:rFonts w:ascii="Times New Roman" w:hAnsi="Times New Roman"/>
                  <w:sz w:val="20"/>
                  <w:szCs w:val="20"/>
                </w:rPr>
                <w:t>Dates defining the periods of recruitment and follow-up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955C86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10,12</w:t>
            </w:r>
          </w:p>
        </w:tc>
      </w:tr>
      <w:tr w:rsidR="00C00011" w14:paraId="034B94B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F117B5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Baseline data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731E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B238C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>
                <w:rPr>
                  <w:rFonts w:ascii="Times New Roman" w:hAnsi="Times New Roman"/>
                  <w:sz w:val="20"/>
                  <w:szCs w:val="20"/>
                </w:rPr>
                <w:t>Baseline demographic and clinical characteristics of each group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238ACD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 1</w:t>
            </w:r>
          </w:p>
        </w:tc>
      </w:tr>
      <w:tr w:rsidR="00C00011" w14:paraId="34E24B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4030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Numbers analyzed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44C3E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CC475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>
                <w:rPr>
                  <w:rFonts w:ascii="Times New Roman" w:hAnsi="Times New Roman"/>
                  <w:sz w:val="20"/>
                  <w:szCs w:val="20"/>
                </w:rPr>
                <w:t xml:space="preserve">Number of participants (denominator) in each group included in each analysis and whether the analysis was 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“intention-to-treat” and/or alternative analyses were conducted.   State the results in absolute numbers when feasible (e.g., 10/20, not 50%).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9A9B30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14:paraId="7E44FE2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Figure 1</w:t>
            </w:r>
          </w:p>
          <w:p w14:paraId="37D6575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011" w14:paraId="6FE7A8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0CAB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Outcomes and estimation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EE5AC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1E2F6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>
                <w:rPr>
                  <w:rFonts w:ascii="Times New Roman" w:hAnsi="Times New Roman"/>
                  <w:sz w:val="20"/>
                  <w:szCs w:val="20"/>
                </w:rPr>
                <w:t>For each primary and secondary outcome, a summary of results for each group, and the estimated effect size and its precision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(e.g., 95% confidence interval). For the outcome(s) for which non-inferiority or equivalence is hypothesized, a figure showing confidence intervals and margins of equivalence may be useful.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0D86D1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14:paraId="34F9D831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Tables 2,3,4</w:t>
            </w:r>
          </w:p>
        </w:tc>
      </w:tr>
      <w:tr w:rsidR="00C00011" w14:paraId="134E88E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3B8C1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Ancillary analyses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79082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3B48F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>
                <w:rPr>
                  <w:rFonts w:ascii="Times New Roman" w:hAnsi="Times New Roman"/>
                  <w:sz w:val="20"/>
                  <w:szCs w:val="20"/>
                </w:rPr>
                <w:t>Address multiplicity by reporting any other analyses performed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including subgroup analyses and adjusted analyses, indicating those pre-specified and those exploratory.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B6B0293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</w:tr>
      <w:tr w:rsidR="00C00011" w14:paraId="6F692D5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E62AE1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Adverse events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07DF5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FF222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proofErr w:type="spellStart"/>
              <w:r>
                <w:rPr>
                  <w:rFonts w:ascii="Times New Roman" w:hAnsi="Times New Roman"/>
                  <w:sz w:val="20"/>
                  <w:szCs w:val="20"/>
                </w:rPr>
                <w:t>All important</w:t>
              </w:r>
              <w:proofErr w:type="spellEnd"/>
              <w:r>
                <w:rPr>
                  <w:rFonts w:ascii="Times New Roman" w:hAnsi="Times New Roman"/>
                  <w:sz w:val="20"/>
                  <w:szCs w:val="20"/>
                </w:rPr>
                <w:t xml:space="preserve"> adverse events or side effects in each intervention group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2C8E0EA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00011" w14:paraId="57B9213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FCAB76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DISCUSSION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> </w:t>
            </w:r>
            <w:r>
              <w:rPr>
                <w:rFonts w:ascii="Times New Roman" w:hAnsi="Times New Roman"/>
                <w:sz w:val="20"/>
                <w:szCs w:val="20"/>
              </w:rPr>
              <w:t>Interpretation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AA468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92221F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>
                <w:rPr>
                  <w:rFonts w:ascii="Times New Roman" w:hAnsi="Times New Roman"/>
                  <w:sz w:val="20"/>
                  <w:szCs w:val="20"/>
                </w:rPr>
                <w:t>Interpretation of the results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, taking into account the non-inferiority or equivalence hypothesis and any other study hypotheses, sources of potential bias or imprecision and the dangers associated with multiplicity of analyses and outcomes.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B33A7C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19-21</w:t>
            </w:r>
          </w:p>
        </w:tc>
      </w:tr>
      <w:tr w:rsidR="00C00011" w14:paraId="680149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3C083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Generalizability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4A3B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D87247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>
                <w:rPr>
                  <w:rFonts w:ascii="Times New Roman" w:hAnsi="Times New Roman"/>
                  <w:sz w:val="20"/>
                  <w:szCs w:val="20"/>
                </w:rPr>
                <w:t>Generalizability (external validity) of the trial findings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2A4D160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00011" w14:paraId="6E385931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7E2B8C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Overall evidence</w:t>
            </w:r>
          </w:p>
        </w:tc>
        <w:tc>
          <w:tcPr>
            <w:tcW w:w="6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59458B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CDBB5D" w14:textId="77777777" w:rsidR="00C00011" w:rsidRDefault="00C000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>
                <w:rPr>
                  <w:rFonts w:ascii="Times New Roman" w:hAnsi="Times New Roman"/>
                  <w:sz w:val="20"/>
                  <w:szCs w:val="20"/>
                </w:rPr>
                <w:t>General interpretation of the results in the context of current evidence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D99BEC4" w14:textId="79CC40FA" w:rsidR="00C00011" w:rsidRDefault="00171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C00011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</w:tr>
    </w:tbl>
    <w:p w14:paraId="02C28D8A" w14:textId="77777777" w:rsidR="00C00011" w:rsidRDefault="00C000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CBC876C" w14:textId="77777777" w:rsidR="00C00011" w:rsidRDefault="00C000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www.consort-statement.org</w:t>
      </w:r>
      <w:bookmarkStart w:id="0" w:name="_GoBack"/>
      <w:bookmarkEnd w:id="0"/>
    </w:p>
    <w:sectPr w:rsidR="00C00011">
      <w:pgSz w:w="12240" w:h="15840"/>
      <w:pgMar w:top="432" w:right="1440" w:bottom="432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2"/>
    <w:rsid w:val="00171FAB"/>
    <w:rsid w:val="00570BA2"/>
    <w:rsid w:val="00C00011"/>
    <w:rsid w:val="00E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09506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onsort-statement.org/index.aspx?o=1029%22%20%5Cl%20%2212b" TargetMode="External"/><Relationship Id="rId21" Type="http://schemas.openxmlformats.org/officeDocument/2006/relationships/hyperlink" Target="http://www.consort-statement.org/index.aspx?o=1018" TargetMode="External"/><Relationship Id="rId22" Type="http://schemas.openxmlformats.org/officeDocument/2006/relationships/hyperlink" Target="http://www.consort-statement.org/index.aspx?o=1086" TargetMode="External"/><Relationship Id="rId23" Type="http://schemas.openxmlformats.org/officeDocument/2006/relationships/hyperlink" Target="http://www.consort-statement.org/index.aspx?o=1087" TargetMode="External"/><Relationship Id="rId24" Type="http://schemas.openxmlformats.org/officeDocument/2006/relationships/hyperlink" Target="http://www.consort-statement.org/index.aspx?o=1088" TargetMode="External"/><Relationship Id="rId25" Type="http://schemas.openxmlformats.org/officeDocument/2006/relationships/hyperlink" Target="http://www.consort-statement.org/index.aspx?o=1089" TargetMode="External"/><Relationship Id="rId26" Type="http://schemas.openxmlformats.org/officeDocument/2006/relationships/hyperlink" Target="http://www.consort-statement.org/index.aspx?o=1090" TargetMode="External"/><Relationship Id="rId27" Type="http://schemas.openxmlformats.org/officeDocument/2006/relationships/hyperlink" Target="http://www.consort-statement.org/index.aspx?o=1091" TargetMode="External"/><Relationship Id="rId28" Type="http://schemas.openxmlformats.org/officeDocument/2006/relationships/hyperlink" Target="http://www.consort-statement.org/index.aspx?o=1092" TargetMode="External"/><Relationship Id="rId29" Type="http://schemas.openxmlformats.org/officeDocument/2006/relationships/hyperlink" Target="http://www.consort-statement.org/index.aspx?o=101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onsort-statement.org/index.aspx?o=1107" TargetMode="External"/><Relationship Id="rId5" Type="http://schemas.openxmlformats.org/officeDocument/2006/relationships/hyperlink" Target="http://www.consort-statement.org/index.aspx?o=1016" TargetMode="External"/><Relationship Id="rId30" Type="http://schemas.openxmlformats.org/officeDocument/2006/relationships/hyperlink" Target="http://www.consort-statement.org/index.aspx?o=1094" TargetMode="External"/><Relationship Id="rId31" Type="http://schemas.openxmlformats.org/officeDocument/2006/relationships/hyperlink" Target="http://www.consort-statement.org/index.aspx?o=1095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://www.consort-statement.org/index.aspx?o=1022" TargetMode="External"/><Relationship Id="rId6" Type="http://schemas.openxmlformats.org/officeDocument/2006/relationships/hyperlink" Target="http://www.consort-statement.org/index.aspx?o=1017%22%20%5Cl%20%223a" TargetMode="External"/><Relationship Id="rId7" Type="http://schemas.openxmlformats.org/officeDocument/2006/relationships/hyperlink" Target="http://www.consort-statement.org/index.aspx?o=1017%22%20%5Cl%20%223b" TargetMode="External"/><Relationship Id="rId8" Type="http://schemas.openxmlformats.org/officeDocument/2006/relationships/hyperlink" Target="http://www.consort-statement.org/index.aspx?o=1021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://www.consort-statement.org/index.aspx?o=1023%22%20%5Cl%20%226a" TargetMode="External"/><Relationship Id="rId11" Type="http://schemas.openxmlformats.org/officeDocument/2006/relationships/hyperlink" Target="http://www.consort-statement.org/index.aspx?o=1023%22%20%5Cl%20%226b" TargetMode="External"/><Relationship Id="rId12" Type="http://schemas.openxmlformats.org/officeDocument/2006/relationships/hyperlink" Target="http://www.consort-statement.org/index.aspx?o=1024%22%20%5Cl%20%227a" TargetMode="External"/><Relationship Id="rId13" Type="http://schemas.openxmlformats.org/officeDocument/2006/relationships/hyperlink" Target="http://www.consort-statement.org/index.aspx?o=1024%22%20%5Cl%20%227b" TargetMode="External"/><Relationship Id="rId14" Type="http://schemas.openxmlformats.org/officeDocument/2006/relationships/hyperlink" Target="http://www.consort-statement.org/index.aspx?o=1025" TargetMode="External"/><Relationship Id="rId15" Type="http://schemas.openxmlformats.org/officeDocument/2006/relationships/hyperlink" Target="http://www.consort-statement.org/index.aspx?o=1026" TargetMode="External"/><Relationship Id="rId16" Type="http://schemas.openxmlformats.org/officeDocument/2006/relationships/hyperlink" Target="http://www.consort-statement.org/index.aspx?o=1027" TargetMode="External"/><Relationship Id="rId17" Type="http://schemas.openxmlformats.org/officeDocument/2006/relationships/hyperlink" Target="http://www.consort-statement.org/index.aspx?o=1028%22%20%5Cl%20%2211a" TargetMode="External"/><Relationship Id="rId18" Type="http://schemas.openxmlformats.org/officeDocument/2006/relationships/hyperlink" Target="http://www.consort-statement.org/index.aspx?o=1028%22%20%5Cl%20%2211b" TargetMode="External"/><Relationship Id="rId19" Type="http://schemas.openxmlformats.org/officeDocument/2006/relationships/hyperlink" Target="http://www.consort-statement.org/index.aspx?o=1029%22%20%5Cl%20%221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6019</Characters>
  <Application>Microsoft Macintosh Word</Application>
  <DocSecurity>0</DocSecurity>
  <Lines>50</Lines>
  <Paragraphs>14</Paragraphs>
  <ScaleCrop>false</ScaleCrop>
  <Company>CHEO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 Checklist of items to include when reporting a randomized trial      </dc:title>
  <dc:subject/>
  <dc:creator>cheo</dc:creator>
  <cp:keywords/>
  <dc:description/>
  <cp:lastModifiedBy>Microsoft Office User</cp:lastModifiedBy>
  <cp:revision>3</cp:revision>
  <dcterms:created xsi:type="dcterms:W3CDTF">2016-11-25T05:46:00Z</dcterms:created>
  <dcterms:modified xsi:type="dcterms:W3CDTF">2016-11-25T05:46:00Z</dcterms:modified>
</cp:coreProperties>
</file>