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90" w:rsidRPr="0099171A" w:rsidRDefault="0099171A" w:rsidP="00520520">
      <w:pPr>
        <w:pStyle w:val="TAMainText"/>
        <w:ind w:firstLine="0"/>
        <w:rPr>
          <w:rFonts w:ascii="Times New Roman" w:hAnsi="Times New Roman"/>
          <w:b/>
          <w:sz w:val="36"/>
          <w:szCs w:val="36"/>
        </w:rPr>
      </w:pPr>
      <w:r w:rsidRPr="0099171A">
        <w:rPr>
          <w:rFonts w:ascii="Times New Roman" w:hAnsi="Times New Roman"/>
          <w:b/>
          <w:sz w:val="36"/>
          <w:szCs w:val="36"/>
        </w:rPr>
        <w:t>Supporting Information</w:t>
      </w:r>
    </w:p>
    <w:p w:rsidR="00520520" w:rsidRPr="0099171A" w:rsidRDefault="00B34590" w:rsidP="00520520">
      <w:pPr>
        <w:pStyle w:val="TAMainText"/>
        <w:ind w:firstLine="0"/>
        <w:rPr>
          <w:rFonts w:ascii="Times New Roman" w:hAnsi="Times New Roman"/>
          <w:b/>
          <w:sz w:val="32"/>
          <w:szCs w:val="32"/>
        </w:rPr>
      </w:pPr>
      <w:r w:rsidRPr="0099171A">
        <w:rPr>
          <w:rFonts w:ascii="Times New Roman" w:hAnsi="Times New Roman"/>
          <w:b/>
          <w:sz w:val="32"/>
          <w:szCs w:val="32"/>
        </w:rPr>
        <w:t>WNT3A Cell Reporter Assay</w:t>
      </w:r>
    </w:p>
    <w:p w:rsidR="00B34590" w:rsidRPr="0099171A" w:rsidRDefault="00B34590" w:rsidP="0099171A">
      <w:pPr>
        <w:pStyle w:val="TAMainText"/>
        <w:ind w:firstLine="0"/>
        <w:rPr>
          <w:rFonts w:ascii="Times New Roman" w:hAnsi="Times New Roman"/>
        </w:rPr>
      </w:pPr>
      <w:r w:rsidRPr="0099171A">
        <w:rPr>
          <w:rFonts w:ascii="Times New Roman" w:hAnsi="Times New Roman"/>
        </w:rPr>
        <w:t xml:space="preserve">An assay to determine both rhWNT3A bioactivity and concentration in solution, based on a WNT reporter cell line constitutively expressing mCherry and conditionally expressing eGFP on a WNT promoter, was developed in-house. In this cell reporter assay, binding of rhWNT3A to its cognate receptor on </w:t>
      </w:r>
      <w:bookmarkStart w:id="0" w:name="_GoBack"/>
      <w:bookmarkEnd w:id="0"/>
      <w:r w:rsidRPr="0099171A">
        <w:rPr>
          <w:rFonts w:ascii="Times New Roman" w:hAnsi="Times New Roman"/>
        </w:rPr>
        <w:t>HEK cells results in activation of the canonical Wnt pathway, which induces eGFP expression in the cells. The whole assay procedure is presented in S</w:t>
      </w:r>
      <w:r w:rsidR="00534841">
        <w:rPr>
          <w:rFonts w:ascii="Times New Roman" w:hAnsi="Times New Roman"/>
        </w:rPr>
        <w:t>2</w:t>
      </w:r>
      <w:r w:rsidRPr="0099171A">
        <w:rPr>
          <w:rFonts w:ascii="Times New Roman" w:hAnsi="Times New Roman"/>
        </w:rPr>
        <w:t>A</w:t>
      </w:r>
      <w:r w:rsidR="00975CD3">
        <w:rPr>
          <w:rFonts w:ascii="Times New Roman" w:hAnsi="Times New Roman"/>
        </w:rPr>
        <w:t xml:space="preserve"> Fig</w:t>
      </w:r>
      <w:r w:rsidRPr="0099171A">
        <w:rPr>
          <w:rFonts w:ascii="Times New Roman" w:hAnsi="Times New Roman"/>
        </w:rPr>
        <w:t>.</w:t>
      </w:r>
      <w:r w:rsidR="00975CD3">
        <w:rPr>
          <w:rFonts w:ascii="Times New Roman" w:hAnsi="Times New Roman"/>
        </w:rPr>
        <w:t xml:space="preserve"> </w:t>
      </w:r>
      <w:r w:rsidRPr="0099171A">
        <w:rPr>
          <w:rFonts w:ascii="Times New Roman" w:hAnsi="Times New Roman"/>
        </w:rPr>
        <w:t>The fluorescence was quantified and normalized to untreated cell controls using fluorescence microscopy. The assay showed a linear dependency for rhWNT3A concentrations betw</w:t>
      </w:r>
      <w:r w:rsidR="004647B3" w:rsidRPr="0099171A">
        <w:rPr>
          <w:rFonts w:ascii="Times New Roman" w:hAnsi="Times New Roman"/>
        </w:rPr>
        <w:t>een 62.5 and 2000 ng/ml (S</w:t>
      </w:r>
      <w:r w:rsidR="00534841">
        <w:rPr>
          <w:rFonts w:ascii="Times New Roman" w:hAnsi="Times New Roman"/>
        </w:rPr>
        <w:t>2</w:t>
      </w:r>
      <w:r w:rsidRPr="0099171A">
        <w:rPr>
          <w:rFonts w:ascii="Times New Roman" w:hAnsi="Times New Roman"/>
        </w:rPr>
        <w:t>B</w:t>
      </w:r>
      <w:r w:rsidR="00975CD3">
        <w:rPr>
          <w:rFonts w:ascii="Times New Roman" w:hAnsi="Times New Roman"/>
        </w:rPr>
        <w:t xml:space="preserve"> Fig</w:t>
      </w:r>
      <w:r w:rsidRPr="0099171A">
        <w:rPr>
          <w:rFonts w:ascii="Times New Roman" w:hAnsi="Times New Roman"/>
        </w:rPr>
        <w:t>). Concentrations below this threshold were neglected due to the limit of detection (blank value plus three times the blank’s standard deviation), while higher concentrations were not tested due to th</w:t>
      </w:r>
      <w:r w:rsidR="001040C2" w:rsidRPr="0099171A">
        <w:rPr>
          <w:rFonts w:ascii="Times New Roman" w:hAnsi="Times New Roman"/>
        </w:rPr>
        <w:t>e lack of biological relevance.</w:t>
      </w:r>
    </w:p>
    <w:p w:rsidR="00B34590" w:rsidRPr="0099171A" w:rsidRDefault="00B34590" w:rsidP="00ED2502">
      <w:pPr>
        <w:spacing w:after="0"/>
        <w:jc w:val="left"/>
        <w:rPr>
          <w:rFonts w:ascii="Times New Roman" w:hAnsi="Times New Roman"/>
          <w:szCs w:val="24"/>
        </w:rPr>
      </w:pPr>
    </w:p>
    <w:sectPr w:rsidR="00B34590" w:rsidRPr="0099171A" w:rsidSect="00520520">
      <w:headerReference w:type="default" r:id="rId9"/>
      <w:footerReference w:type="even" r:id="rId10"/>
      <w:footerReference w:type="default" r:id="rId11"/>
      <w:type w:val="continuous"/>
      <w:pgSz w:w="11907" w:h="16839" w:code="9"/>
      <w:pgMar w:top="1440" w:right="1440" w:bottom="1440" w:left="1440" w:header="18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A1" w:rsidRDefault="00CA70A1">
      <w:r>
        <w:separator/>
      </w:r>
    </w:p>
  </w:endnote>
  <w:endnote w:type="continuationSeparator" w:id="0">
    <w:p w:rsidR="00CA70A1" w:rsidRDefault="00CA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90" w:rsidRDefault="00B34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4590" w:rsidRDefault="00B345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90" w:rsidRDefault="00B34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841">
      <w:rPr>
        <w:rStyle w:val="PageNumber"/>
        <w:noProof/>
      </w:rPr>
      <w:t>1</w:t>
    </w:r>
    <w:r>
      <w:rPr>
        <w:rStyle w:val="PageNumber"/>
      </w:rPr>
      <w:fldChar w:fldCharType="end"/>
    </w:r>
  </w:p>
  <w:p w:rsidR="00B34590" w:rsidRDefault="00B345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A1" w:rsidRDefault="00CA70A1">
      <w:r>
        <w:separator/>
      </w:r>
    </w:p>
  </w:footnote>
  <w:footnote w:type="continuationSeparator" w:id="0">
    <w:p w:rsidR="00CA70A1" w:rsidRDefault="00CA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E" w:rsidRPr="00520520" w:rsidRDefault="00A7439E" w:rsidP="00A7439E">
    <w:pPr>
      <w:pStyle w:val="BATitle"/>
      <w:rPr>
        <w:rFonts w:asciiTheme="minorHAnsi" w:hAnsiTheme="minorHAnsi"/>
        <w:sz w:val="22"/>
        <w:szCs w:val="22"/>
      </w:rPr>
    </w:pPr>
    <w:r w:rsidRPr="00520520">
      <w:rPr>
        <w:rFonts w:asciiTheme="minorHAnsi" w:hAnsiTheme="minorHAnsi"/>
        <w:sz w:val="22"/>
        <w:szCs w:val="22"/>
      </w:rPr>
      <w:t>Ahrens et al, Gelatin Device for the Delivery of Growth Factors Involved in Endochondral Ossification</w:t>
    </w:r>
  </w:p>
  <w:p w:rsidR="00A7439E" w:rsidRPr="00520520" w:rsidRDefault="00A7439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6E1"/>
    <w:multiLevelType w:val="multilevel"/>
    <w:tmpl w:val="23027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7516"/>
    <w:multiLevelType w:val="multilevel"/>
    <w:tmpl w:val="2160B7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3">
    <w:nsid w:val="1DF87615"/>
    <w:multiLevelType w:val="hybridMultilevel"/>
    <w:tmpl w:val="A23E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32D43"/>
    <w:multiLevelType w:val="hybridMultilevel"/>
    <w:tmpl w:val="5188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6945"/>
    <w:multiLevelType w:val="hybridMultilevel"/>
    <w:tmpl w:val="5B926B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F392B"/>
    <w:multiLevelType w:val="hybridMultilevel"/>
    <w:tmpl w:val="AA9A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4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5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6F36BB2"/>
    <w:multiLevelType w:val="hybridMultilevel"/>
    <w:tmpl w:val="A93CE0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0"/>
    <w:rsid w:val="000002F2"/>
    <w:rsid w:val="000021A1"/>
    <w:rsid w:val="00042AC5"/>
    <w:rsid w:val="0005660F"/>
    <w:rsid w:val="000702AD"/>
    <w:rsid w:val="000B2EEB"/>
    <w:rsid w:val="000B5610"/>
    <w:rsid w:val="000C05CC"/>
    <w:rsid w:val="000C6499"/>
    <w:rsid w:val="001040C2"/>
    <w:rsid w:val="00140A79"/>
    <w:rsid w:val="0015522F"/>
    <w:rsid w:val="00160A63"/>
    <w:rsid w:val="00195ACA"/>
    <w:rsid w:val="001A7A90"/>
    <w:rsid w:val="00212B1D"/>
    <w:rsid w:val="00271A02"/>
    <w:rsid w:val="002A7493"/>
    <w:rsid w:val="002C3431"/>
    <w:rsid w:val="002C5349"/>
    <w:rsid w:val="0031373B"/>
    <w:rsid w:val="00320EA3"/>
    <w:rsid w:val="00324128"/>
    <w:rsid w:val="00337994"/>
    <w:rsid w:val="00361E35"/>
    <w:rsid w:val="003664E9"/>
    <w:rsid w:val="003679A1"/>
    <w:rsid w:val="003A42F0"/>
    <w:rsid w:val="003B4AF3"/>
    <w:rsid w:val="003E1F76"/>
    <w:rsid w:val="004647B3"/>
    <w:rsid w:val="00475FD2"/>
    <w:rsid w:val="004E283C"/>
    <w:rsid w:val="004E7185"/>
    <w:rsid w:val="00520520"/>
    <w:rsid w:val="00534841"/>
    <w:rsid w:val="005553EF"/>
    <w:rsid w:val="00567E81"/>
    <w:rsid w:val="00591A57"/>
    <w:rsid w:val="005D0C10"/>
    <w:rsid w:val="005D38DB"/>
    <w:rsid w:val="006455A5"/>
    <w:rsid w:val="00683131"/>
    <w:rsid w:val="00690D41"/>
    <w:rsid w:val="006A3E34"/>
    <w:rsid w:val="006B2581"/>
    <w:rsid w:val="006E07FE"/>
    <w:rsid w:val="007000D9"/>
    <w:rsid w:val="00747701"/>
    <w:rsid w:val="007629D3"/>
    <w:rsid w:val="00794616"/>
    <w:rsid w:val="007A11AD"/>
    <w:rsid w:val="008047DE"/>
    <w:rsid w:val="008224C8"/>
    <w:rsid w:val="008633FA"/>
    <w:rsid w:val="008655C0"/>
    <w:rsid w:val="008D30F9"/>
    <w:rsid w:val="008D53B2"/>
    <w:rsid w:val="00912169"/>
    <w:rsid w:val="0092037A"/>
    <w:rsid w:val="009246AD"/>
    <w:rsid w:val="00975CD3"/>
    <w:rsid w:val="0099171A"/>
    <w:rsid w:val="009F2E7E"/>
    <w:rsid w:val="00A02D62"/>
    <w:rsid w:val="00A20EB5"/>
    <w:rsid w:val="00A7439E"/>
    <w:rsid w:val="00A764EF"/>
    <w:rsid w:val="00AB34C5"/>
    <w:rsid w:val="00AF4F6D"/>
    <w:rsid w:val="00AF7F6A"/>
    <w:rsid w:val="00B05A88"/>
    <w:rsid w:val="00B34590"/>
    <w:rsid w:val="00B44641"/>
    <w:rsid w:val="00B7618D"/>
    <w:rsid w:val="00B950EB"/>
    <w:rsid w:val="00BD2C44"/>
    <w:rsid w:val="00C10EE0"/>
    <w:rsid w:val="00C12556"/>
    <w:rsid w:val="00C6170A"/>
    <w:rsid w:val="00CA70A1"/>
    <w:rsid w:val="00CC5270"/>
    <w:rsid w:val="00CF7A9E"/>
    <w:rsid w:val="00D318E5"/>
    <w:rsid w:val="00D32E24"/>
    <w:rsid w:val="00DD3AD4"/>
    <w:rsid w:val="00DD6DBB"/>
    <w:rsid w:val="00E074F2"/>
    <w:rsid w:val="00E44854"/>
    <w:rsid w:val="00E91482"/>
    <w:rsid w:val="00E96302"/>
    <w:rsid w:val="00ED2502"/>
    <w:rsid w:val="00ED2981"/>
    <w:rsid w:val="00EE293A"/>
    <w:rsid w:val="00EF6DB1"/>
    <w:rsid w:val="00F134F5"/>
    <w:rsid w:val="00F47B85"/>
    <w:rsid w:val="00F54BDD"/>
    <w:rsid w:val="00F5645C"/>
    <w:rsid w:val="00FE6219"/>
    <w:rsid w:val="00FF2D4B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link w:val="FootnoteTextChar"/>
    <w:uiPriority w:val="99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590"/>
    <w:rPr>
      <w:rFonts w:ascii="Times" w:hAnsi="Times"/>
      <w:sz w:val="24"/>
    </w:r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590"/>
    <w:rPr>
      <w:rFonts w:ascii="Times" w:hAnsi="Times"/>
      <w:sz w:val="24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E9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90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59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styleId="FootnoteReference">
    <w:name w:val="footnote reference"/>
    <w:basedOn w:val="DefaultParagraphFont"/>
    <w:uiPriority w:val="99"/>
    <w:unhideWhenUsed/>
    <w:rsid w:val="00B345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590"/>
    <w:pPr>
      <w:tabs>
        <w:tab w:val="center" w:pos="4703"/>
        <w:tab w:val="right" w:pos="9406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34590"/>
    <w:rPr>
      <w:rFonts w:asciiTheme="minorHAnsi" w:eastAsiaTheme="minorHAnsi" w:hAnsiTheme="minorHAnsi" w:cstheme="minorBidi"/>
      <w:sz w:val="22"/>
      <w:szCs w:val="22"/>
      <w:lang w:val="de-DE"/>
    </w:rPr>
  </w:style>
  <w:style w:type="table" w:styleId="TableGrid">
    <w:name w:val="Table Grid"/>
    <w:basedOn w:val="TableNormal"/>
    <w:uiPriority w:val="39"/>
    <w:rsid w:val="00B34590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unhideWhenUsed/>
    <w:rsid w:val="00B34590"/>
  </w:style>
  <w:style w:type="character" w:styleId="CommentReference">
    <w:name w:val="annotation reference"/>
    <w:basedOn w:val="DefaultParagraphFont"/>
    <w:uiPriority w:val="99"/>
    <w:unhideWhenUsed/>
    <w:rsid w:val="00B34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590"/>
    <w:pPr>
      <w:spacing w:after="160"/>
      <w:jc w:val="left"/>
    </w:pPr>
    <w:rPr>
      <w:rFonts w:asciiTheme="minorHAnsi" w:eastAsiaTheme="minorHAnsi" w:hAnsiTheme="minorHAnsi" w:cstheme="minorBidi"/>
      <w:sz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590"/>
    <w:rPr>
      <w:rFonts w:asciiTheme="minorHAnsi" w:eastAsiaTheme="minorHAnsi" w:hAnsiTheme="minorHAnsi" w:cstheme="minorBidi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4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4590"/>
    <w:rPr>
      <w:rFonts w:asciiTheme="minorHAnsi" w:eastAsiaTheme="minorHAnsi" w:hAnsiTheme="minorHAnsi" w:cstheme="minorBidi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link w:val="FootnoteTextChar"/>
    <w:uiPriority w:val="99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590"/>
    <w:rPr>
      <w:rFonts w:ascii="Times" w:hAnsi="Times"/>
      <w:sz w:val="24"/>
    </w:r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590"/>
    <w:rPr>
      <w:rFonts w:ascii="Times" w:hAnsi="Times"/>
      <w:sz w:val="24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E9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90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59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styleId="FootnoteReference">
    <w:name w:val="footnote reference"/>
    <w:basedOn w:val="DefaultParagraphFont"/>
    <w:uiPriority w:val="99"/>
    <w:unhideWhenUsed/>
    <w:rsid w:val="00B345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590"/>
    <w:pPr>
      <w:tabs>
        <w:tab w:val="center" w:pos="4703"/>
        <w:tab w:val="right" w:pos="9406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34590"/>
    <w:rPr>
      <w:rFonts w:asciiTheme="minorHAnsi" w:eastAsiaTheme="minorHAnsi" w:hAnsiTheme="minorHAnsi" w:cstheme="minorBidi"/>
      <w:sz w:val="22"/>
      <w:szCs w:val="22"/>
      <w:lang w:val="de-DE"/>
    </w:rPr>
  </w:style>
  <w:style w:type="table" w:styleId="TableGrid">
    <w:name w:val="Table Grid"/>
    <w:basedOn w:val="TableNormal"/>
    <w:uiPriority w:val="39"/>
    <w:rsid w:val="00B34590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unhideWhenUsed/>
    <w:rsid w:val="00B34590"/>
  </w:style>
  <w:style w:type="character" w:styleId="CommentReference">
    <w:name w:val="annotation reference"/>
    <w:basedOn w:val="DefaultParagraphFont"/>
    <w:uiPriority w:val="99"/>
    <w:unhideWhenUsed/>
    <w:rsid w:val="00B34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590"/>
    <w:pPr>
      <w:spacing w:after="160"/>
      <w:jc w:val="left"/>
    </w:pPr>
    <w:rPr>
      <w:rFonts w:asciiTheme="minorHAnsi" w:eastAsiaTheme="minorHAnsi" w:hAnsiTheme="minorHAnsi" w:cstheme="minorBidi"/>
      <w:sz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590"/>
    <w:rPr>
      <w:rFonts w:asciiTheme="minorHAnsi" w:eastAsiaTheme="minorHAnsi" w:hAnsiTheme="minorHAnsi" w:cstheme="minorBidi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4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4590"/>
    <w:rPr>
      <w:rFonts w:asciiTheme="minorHAnsi" w:eastAsiaTheme="minorHAnsi" w:hAnsiTheme="minorHAnsi" w:cstheme="minorBidi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\CloudStation\Papers\Soluble%20Signal%20Release%20for%20EO\acstemplate_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423C-BACE-448D-A84F-B5B25686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941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Lucas Ahrens</dc:creator>
  <cp:lastModifiedBy>Lucas Ahrens</cp:lastModifiedBy>
  <cp:revision>4</cp:revision>
  <cp:lastPrinted>2017-03-22T15:59:00Z</cp:lastPrinted>
  <dcterms:created xsi:type="dcterms:W3CDTF">2017-01-03T14:43:00Z</dcterms:created>
  <dcterms:modified xsi:type="dcterms:W3CDTF">2017-03-22T16:00:00Z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4799a20e-7c9f-3f82-b146-bc7acaf36ee7</vt:lpwstr>
  </property>
  <property fmtid="{D5CDD505-2E9C-101B-9397-08002B2CF9AE}" pid="4" name="Mendeley Citation Style_1">
    <vt:lpwstr>http://www.zotero.org/styles/biomacromolecules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http://www.zotero.org/styles/biomacromolecules</vt:lpwstr>
  </property>
  <property fmtid="{D5CDD505-2E9C-101B-9397-08002B2CF9AE}" pid="10" name="Mendeley Recent Style Name 2_1">
    <vt:lpwstr>Biomacromolecules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http://www.zotero.org/styles/nature-methods</vt:lpwstr>
  </property>
  <property fmtid="{D5CDD505-2E9C-101B-9397-08002B2CF9AE}" pid="18" name="Mendeley Recent Style Name 6_1">
    <vt:lpwstr>Nature Methods</vt:lpwstr>
  </property>
  <property fmtid="{D5CDD505-2E9C-101B-9397-08002B2CF9AE}" pid="19" name="Mendeley Recent Style Id 7_1">
    <vt:lpwstr>http://www.zotero.org/styles/pnas</vt:lpwstr>
  </property>
  <property fmtid="{D5CDD505-2E9C-101B-9397-08002B2CF9AE}" pid="20" name="Mendeley Recent Style Name 7_1">
    <vt:lpwstr>Proceedings of the National Academy of Sciences of the United States of America</vt:lpwstr>
  </property>
  <property fmtid="{D5CDD505-2E9C-101B-9397-08002B2CF9AE}" pid="21" name="Mendeley Recent Style Id 8_1">
    <vt:lpwstr>http://www.zotero.org/styles/science-without-title</vt:lpwstr>
  </property>
  <property fmtid="{D5CDD505-2E9C-101B-9397-08002B2CF9AE}" pid="22" name="Mendeley Recent Style Name 8_1">
    <vt:lpwstr>Science (without title)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