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0B" w:rsidRPr="00967DBD" w:rsidRDefault="00E36D42" w:rsidP="00332A0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332A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8243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ppendix</w:t>
      </w:r>
      <w:r w:rsidR="00332A0B" w:rsidRPr="00967DBD">
        <w:rPr>
          <w:b/>
          <w:sz w:val="24"/>
          <w:szCs w:val="24"/>
        </w:rPr>
        <w:t>.</w:t>
      </w:r>
      <w:r w:rsidR="00332A0B" w:rsidRPr="00967DBD">
        <w:rPr>
          <w:sz w:val="24"/>
          <w:szCs w:val="24"/>
        </w:rPr>
        <w:t xml:space="preserve"> Seasonal correlation among independent variables predicting female white-tailed deer </w:t>
      </w:r>
      <w:r w:rsidR="00332A0B">
        <w:rPr>
          <w:sz w:val="24"/>
          <w:szCs w:val="24"/>
        </w:rPr>
        <w:t>(</w:t>
      </w:r>
      <w:proofErr w:type="spellStart"/>
      <w:r w:rsidR="00332A0B" w:rsidRPr="00967DBD">
        <w:rPr>
          <w:rFonts w:cs="Arial"/>
          <w:i/>
          <w:sz w:val="24"/>
          <w:szCs w:val="24"/>
          <w:shd w:val="clear" w:color="auto" w:fill="FFFFFF"/>
        </w:rPr>
        <w:t>Odocoileus</w:t>
      </w:r>
      <w:proofErr w:type="spellEnd"/>
      <w:r w:rsidR="00332A0B" w:rsidRPr="00967DBD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2A0B" w:rsidRPr="00967DBD">
        <w:rPr>
          <w:rFonts w:cs="Arial"/>
          <w:i/>
          <w:sz w:val="24"/>
          <w:szCs w:val="24"/>
          <w:shd w:val="clear" w:color="auto" w:fill="FFFFFF"/>
        </w:rPr>
        <w:t>virginianus</w:t>
      </w:r>
      <w:proofErr w:type="spellEnd"/>
      <w:r w:rsidR="00332A0B" w:rsidRPr="00C17142">
        <w:rPr>
          <w:rFonts w:cs="Arial"/>
          <w:sz w:val="24"/>
          <w:szCs w:val="24"/>
          <w:shd w:val="clear" w:color="auto" w:fill="FFFFFF"/>
        </w:rPr>
        <w:t>)</w:t>
      </w:r>
      <w:r w:rsidR="00332A0B">
        <w:rPr>
          <w:rFonts w:cs="Arial"/>
          <w:sz w:val="24"/>
          <w:szCs w:val="24"/>
          <w:shd w:val="clear" w:color="auto" w:fill="FFFFFF"/>
        </w:rPr>
        <w:t xml:space="preserve"> </w:t>
      </w:r>
      <w:r w:rsidR="00332A0B" w:rsidRPr="00967DBD">
        <w:rPr>
          <w:sz w:val="24"/>
          <w:szCs w:val="24"/>
        </w:rPr>
        <w:t xml:space="preserve">sociality in southern Illinois, USA at the local scale. We obtained </w:t>
      </w:r>
      <w:proofErr w:type="spellStart"/>
      <w:r w:rsidR="00332A0B" w:rsidRPr="00967DBD">
        <w:rPr>
          <w:sz w:val="24"/>
          <w:szCs w:val="24"/>
        </w:rPr>
        <w:t>landcover</w:t>
      </w:r>
      <w:proofErr w:type="spellEnd"/>
      <w:r w:rsidR="00332A0B" w:rsidRPr="00967DBD">
        <w:rPr>
          <w:sz w:val="24"/>
          <w:szCs w:val="24"/>
        </w:rPr>
        <w:t xml:space="preserve"> data from the Illinois Natural History Survey Illinois Gap Analysis Land Cover Classification from 1999 and 2000 (INHS 2003).</w:t>
      </w:r>
      <w:r w:rsidR="00332A0B">
        <w:rPr>
          <w:sz w:val="24"/>
          <w:szCs w:val="24"/>
        </w:rPr>
        <w:t xml:space="preserve"> </w:t>
      </w:r>
      <w:r w:rsidR="00AF36B1">
        <w:rPr>
          <w:sz w:val="24"/>
          <w:szCs w:val="24"/>
        </w:rPr>
        <w:t>We pooled d</w:t>
      </w:r>
      <w:r w:rsidR="00332A0B">
        <w:rPr>
          <w:sz w:val="24"/>
          <w:szCs w:val="24"/>
        </w:rPr>
        <w:t>ata over the Carbondale and Lake Shelbyville study areas.</w:t>
      </w:r>
    </w:p>
    <w:p w:rsidR="00332A0B" w:rsidRDefault="00332A0B" w:rsidP="00332A0B">
      <w:pPr>
        <w:spacing w:line="360" w:lineRule="auto"/>
        <w:rPr>
          <w:sz w:val="24"/>
          <w:szCs w:val="24"/>
        </w:rPr>
      </w:pPr>
    </w:p>
    <w:p w:rsidR="00EE111F" w:rsidRPr="00967DBD" w:rsidRDefault="00EE111F" w:rsidP="00EE111F">
      <w:pPr>
        <w:spacing w:line="360" w:lineRule="auto"/>
        <w:rPr>
          <w:b/>
          <w:sz w:val="24"/>
          <w:szCs w:val="24"/>
        </w:rPr>
      </w:pPr>
      <w:r w:rsidRPr="00967DBD">
        <w:rPr>
          <w:b/>
          <w:sz w:val="24"/>
          <w:szCs w:val="24"/>
        </w:rPr>
        <w:t>References</w:t>
      </w:r>
    </w:p>
    <w:p w:rsidR="00EE111F" w:rsidRDefault="00EE111F" w:rsidP="00EE111F">
      <w:pPr>
        <w:spacing w:line="360" w:lineRule="auto"/>
        <w:rPr>
          <w:sz w:val="24"/>
          <w:szCs w:val="24"/>
        </w:rPr>
      </w:pPr>
      <w:r w:rsidRPr="00967DBD">
        <w:rPr>
          <w:sz w:val="24"/>
          <w:szCs w:val="24"/>
        </w:rPr>
        <w:t xml:space="preserve">INHS (2003) Illinois Natural History Survey's 1999-2000 1:100 000 Scale Illinois Gap Analysis Land Cover </w:t>
      </w:r>
      <w:proofErr w:type="gramStart"/>
      <w:r w:rsidRPr="00967DBD">
        <w:rPr>
          <w:sz w:val="24"/>
          <w:szCs w:val="24"/>
        </w:rPr>
        <w:t>Classification</w:t>
      </w:r>
      <w:proofErr w:type="gramEnd"/>
      <w:r w:rsidRPr="00967DBD">
        <w:rPr>
          <w:sz w:val="24"/>
          <w:szCs w:val="24"/>
        </w:rPr>
        <w:t>, Raster Digital Data, Version 2.0, September 2003.</w:t>
      </w: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Pr="00967DBD" w:rsidRDefault="00EE111F" w:rsidP="00332A0B">
      <w:pPr>
        <w:spacing w:line="360" w:lineRule="auto"/>
        <w:rPr>
          <w:sz w:val="24"/>
          <w:szCs w:val="24"/>
        </w:rPr>
      </w:pPr>
    </w:p>
    <w:p w:rsidR="00332A0B" w:rsidRPr="00967DBD" w:rsidRDefault="00332A0B" w:rsidP="00332A0B">
      <w:pPr>
        <w:spacing w:line="360" w:lineRule="auto"/>
        <w:rPr>
          <w:sz w:val="24"/>
          <w:szCs w:val="24"/>
        </w:rPr>
      </w:pPr>
      <w:r w:rsidRPr="00967DBD">
        <w:rPr>
          <w:sz w:val="24"/>
          <w:szCs w:val="24"/>
        </w:rPr>
        <w:t>Pea</w:t>
      </w:r>
      <w:r>
        <w:rPr>
          <w:sz w:val="24"/>
          <w:szCs w:val="24"/>
        </w:rPr>
        <w:t xml:space="preserve">rson </w:t>
      </w:r>
      <w:r w:rsidRPr="00967DBD">
        <w:rPr>
          <w:sz w:val="24"/>
          <w:szCs w:val="24"/>
        </w:rPr>
        <w:t>correlation coefficients</w:t>
      </w:r>
      <w:r>
        <w:rPr>
          <w:sz w:val="24"/>
          <w:szCs w:val="24"/>
        </w:rPr>
        <w:t xml:space="preserve"> (</w:t>
      </w:r>
      <w:r w:rsidRPr="002C2EAB">
        <w:rPr>
          <w:i/>
          <w:sz w:val="24"/>
          <w:szCs w:val="24"/>
        </w:rPr>
        <w:t>r</w:t>
      </w:r>
      <w:r>
        <w:rPr>
          <w:sz w:val="24"/>
          <w:szCs w:val="24"/>
        </w:rPr>
        <w:t>)</w:t>
      </w:r>
      <w:r w:rsidRPr="00967DBD">
        <w:rPr>
          <w:sz w:val="24"/>
          <w:szCs w:val="24"/>
        </w:rPr>
        <w:t xml:space="preserve"> among independent variables, based on the mean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 w:rsidRPr="00967DBD">
        <w:rPr>
          <w:sz w:val="24"/>
          <w:szCs w:val="24"/>
        </w:rPr>
        <w:t xml:space="preserve"> </w:t>
      </w:r>
      <w:r w:rsidRPr="00967DBD">
        <w:rPr>
          <w:sz w:val="24"/>
          <w:szCs w:val="24"/>
        </w:rPr>
        <w:t xml:space="preserve">proportion (lower) or connectivity (current density; upper) within each individual’s home range (n=51) during the </w:t>
      </w:r>
      <w:r w:rsidRPr="003D0A6F">
        <w:rPr>
          <w:b/>
          <w:sz w:val="24"/>
          <w:szCs w:val="24"/>
        </w:rPr>
        <w:t>gestation period</w:t>
      </w:r>
      <w:r w:rsidRPr="00967DBD">
        <w:rPr>
          <w:sz w:val="24"/>
          <w:szCs w:val="24"/>
        </w:rPr>
        <w:t xml:space="preserve"> (Jan 1 – May 14) at the local scale.</w:t>
      </w:r>
      <w:r w:rsidR="00EE111F">
        <w:rPr>
          <w:sz w:val="24"/>
          <w:szCs w:val="24"/>
        </w:rPr>
        <w:t xml:space="preserve"> Coefficients of correlation between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>
        <w:rPr>
          <w:sz w:val="24"/>
          <w:szCs w:val="24"/>
        </w:rPr>
        <w:t xml:space="preserve"> </w:t>
      </w:r>
      <w:r w:rsidR="00EE111F">
        <w:rPr>
          <w:sz w:val="24"/>
          <w:szCs w:val="24"/>
        </w:rPr>
        <w:t>amount and connectivity are in italics along the diagonal.</w:t>
      </w:r>
      <w:r w:rsidRPr="00967DBD">
        <w:rPr>
          <w:sz w:val="24"/>
          <w:szCs w:val="24"/>
        </w:rPr>
        <w:t xml:space="preserve"> Coefficients &gt;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>0.5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 xml:space="preserve"> are in bold font.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Edge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EE111F">
              <w:rPr>
                <w:i/>
                <w:sz w:val="24"/>
                <w:szCs w:val="24"/>
              </w:rPr>
              <w:t>-0.05</w:t>
            </w:r>
          </w:p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-0.80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0.44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0.25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-0.68</w:t>
            </w:r>
          </w:p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E111F">
              <w:rPr>
                <w:b/>
                <w:i/>
                <w:sz w:val="24"/>
                <w:szCs w:val="24"/>
              </w:rPr>
              <w:t>0.67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-0.50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-0.15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Edge 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0.59</w:t>
            </w:r>
          </w:p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-0.06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E111F">
              <w:rPr>
                <w:b/>
                <w:i/>
                <w:sz w:val="24"/>
                <w:szCs w:val="24"/>
              </w:rPr>
              <w:t>0.50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-0.16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0.17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-0.29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-0.12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32A0B" w:rsidRPr="00967DBD" w:rsidRDefault="00332A0B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332A0B" w:rsidRPr="00967DBD" w:rsidRDefault="00332A0B" w:rsidP="00332A0B">
      <w:pPr>
        <w:spacing w:line="360" w:lineRule="auto"/>
        <w:rPr>
          <w:sz w:val="24"/>
          <w:szCs w:val="24"/>
        </w:rPr>
      </w:pPr>
      <w:r w:rsidRPr="00967DBD">
        <w:rPr>
          <w:sz w:val="24"/>
          <w:szCs w:val="24"/>
        </w:rPr>
        <w:lastRenderedPageBreak/>
        <w:t>Pea</w:t>
      </w:r>
      <w:r>
        <w:rPr>
          <w:sz w:val="24"/>
          <w:szCs w:val="24"/>
        </w:rPr>
        <w:t xml:space="preserve">rson </w:t>
      </w:r>
      <w:r w:rsidRPr="00967DBD">
        <w:rPr>
          <w:sz w:val="24"/>
          <w:szCs w:val="24"/>
        </w:rPr>
        <w:t>correlation coefficients</w:t>
      </w:r>
      <w:r>
        <w:rPr>
          <w:sz w:val="24"/>
          <w:szCs w:val="24"/>
        </w:rPr>
        <w:t xml:space="preserve"> (</w:t>
      </w:r>
      <w:r w:rsidRPr="002C2EAB">
        <w:rPr>
          <w:i/>
          <w:sz w:val="24"/>
          <w:szCs w:val="24"/>
        </w:rPr>
        <w:t>r</w:t>
      </w:r>
      <w:r>
        <w:rPr>
          <w:sz w:val="24"/>
          <w:szCs w:val="24"/>
        </w:rPr>
        <w:t>)</w:t>
      </w:r>
      <w:r w:rsidRPr="00967DBD">
        <w:rPr>
          <w:sz w:val="24"/>
          <w:szCs w:val="24"/>
        </w:rPr>
        <w:t xml:space="preserve"> among independent variables, based on the mean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 w:rsidRPr="00967DBD">
        <w:rPr>
          <w:sz w:val="24"/>
          <w:szCs w:val="24"/>
        </w:rPr>
        <w:t xml:space="preserve"> </w:t>
      </w:r>
      <w:r w:rsidRPr="00967DBD">
        <w:rPr>
          <w:sz w:val="24"/>
          <w:szCs w:val="24"/>
        </w:rPr>
        <w:t xml:space="preserve">proportion (lower) or connectivity (current density; upper) within each individual’s home range (n=21) during the </w:t>
      </w:r>
      <w:r w:rsidRPr="003D0A6F">
        <w:rPr>
          <w:b/>
          <w:sz w:val="24"/>
          <w:szCs w:val="24"/>
        </w:rPr>
        <w:t>fawning period</w:t>
      </w:r>
      <w:r w:rsidRPr="00967DBD">
        <w:rPr>
          <w:sz w:val="24"/>
          <w:szCs w:val="24"/>
        </w:rPr>
        <w:t xml:space="preserve"> (May 15 – Aug 31) at the local scale. </w:t>
      </w:r>
      <w:r w:rsidR="00EE111F">
        <w:rPr>
          <w:sz w:val="24"/>
          <w:szCs w:val="24"/>
        </w:rPr>
        <w:t xml:space="preserve">Coefficients of correlation between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>
        <w:rPr>
          <w:sz w:val="24"/>
          <w:szCs w:val="24"/>
        </w:rPr>
        <w:t xml:space="preserve"> </w:t>
      </w:r>
      <w:r w:rsidR="00EE111F">
        <w:rPr>
          <w:sz w:val="24"/>
          <w:szCs w:val="24"/>
        </w:rPr>
        <w:t>amount and connectivity are in italics along the diagonal.</w:t>
      </w:r>
      <w:r w:rsidR="00EE111F" w:rsidRPr="00967DBD">
        <w:rPr>
          <w:sz w:val="24"/>
          <w:szCs w:val="24"/>
        </w:rPr>
        <w:t xml:space="preserve"> </w:t>
      </w:r>
      <w:r w:rsidRPr="00967DBD">
        <w:rPr>
          <w:sz w:val="24"/>
          <w:szCs w:val="24"/>
        </w:rPr>
        <w:t>Coefficients &gt;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>0.5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 xml:space="preserve"> are in bold font.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Edge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E111F">
              <w:rPr>
                <w:i/>
                <w:sz w:val="24"/>
                <w:szCs w:val="24"/>
              </w:rPr>
              <w:t>0.22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-0.69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0.57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-0.05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-0.80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111F">
              <w:rPr>
                <w:b/>
                <w:i/>
                <w:sz w:val="24"/>
                <w:szCs w:val="24"/>
              </w:rPr>
              <w:t>0.64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-0.55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-0.15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Edge </w:t>
            </w:r>
          </w:p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0.40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-0.01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E111F">
              <w:rPr>
                <w:i/>
                <w:sz w:val="24"/>
                <w:szCs w:val="24"/>
              </w:rPr>
              <w:t>0.49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-0.19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-0.32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0.06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-0.48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2A0B" w:rsidRDefault="00332A0B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EE111F" w:rsidRDefault="00EE111F" w:rsidP="00332A0B">
      <w:pPr>
        <w:spacing w:line="360" w:lineRule="auto"/>
        <w:rPr>
          <w:sz w:val="24"/>
          <w:szCs w:val="24"/>
        </w:rPr>
      </w:pPr>
    </w:p>
    <w:p w:rsidR="00332A0B" w:rsidRPr="00967DBD" w:rsidRDefault="00332A0B" w:rsidP="00332A0B">
      <w:pPr>
        <w:spacing w:line="360" w:lineRule="auto"/>
        <w:rPr>
          <w:sz w:val="24"/>
          <w:szCs w:val="24"/>
        </w:rPr>
      </w:pPr>
      <w:r w:rsidRPr="00967DBD">
        <w:rPr>
          <w:sz w:val="24"/>
          <w:szCs w:val="24"/>
        </w:rPr>
        <w:t>Pea</w:t>
      </w:r>
      <w:r>
        <w:rPr>
          <w:sz w:val="24"/>
          <w:szCs w:val="24"/>
        </w:rPr>
        <w:t xml:space="preserve">rson </w:t>
      </w:r>
      <w:r w:rsidRPr="00967DBD">
        <w:rPr>
          <w:sz w:val="24"/>
          <w:szCs w:val="24"/>
        </w:rPr>
        <w:t>correlation coefficients</w:t>
      </w:r>
      <w:r>
        <w:rPr>
          <w:sz w:val="24"/>
          <w:szCs w:val="24"/>
        </w:rPr>
        <w:t xml:space="preserve"> (</w:t>
      </w:r>
      <w:r w:rsidRPr="00AF2C47">
        <w:rPr>
          <w:i/>
          <w:sz w:val="24"/>
          <w:szCs w:val="24"/>
        </w:rPr>
        <w:t>r</w:t>
      </w:r>
      <w:r>
        <w:rPr>
          <w:sz w:val="24"/>
          <w:szCs w:val="24"/>
        </w:rPr>
        <w:t>)</w:t>
      </w:r>
      <w:r w:rsidRPr="00967DBD">
        <w:rPr>
          <w:sz w:val="24"/>
          <w:szCs w:val="24"/>
        </w:rPr>
        <w:t xml:space="preserve"> among independent variables, based on the mean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 w:rsidRPr="00967DBD">
        <w:rPr>
          <w:sz w:val="24"/>
          <w:szCs w:val="24"/>
        </w:rPr>
        <w:t xml:space="preserve"> </w:t>
      </w:r>
      <w:r w:rsidRPr="00967DBD">
        <w:rPr>
          <w:sz w:val="24"/>
          <w:szCs w:val="24"/>
        </w:rPr>
        <w:t xml:space="preserve">proportion (lower) or connectivity (current density; upper) within each individual’s home range (n=25) during the </w:t>
      </w:r>
      <w:r w:rsidRPr="003D0A6F">
        <w:rPr>
          <w:b/>
          <w:sz w:val="24"/>
          <w:szCs w:val="24"/>
        </w:rPr>
        <w:t>rut</w:t>
      </w:r>
      <w:r w:rsidRPr="00967DBD">
        <w:rPr>
          <w:sz w:val="24"/>
          <w:szCs w:val="24"/>
        </w:rPr>
        <w:t xml:space="preserve"> (Sep 1 - Dec 31) at the local scale. </w:t>
      </w:r>
      <w:r w:rsidR="00EE111F">
        <w:rPr>
          <w:sz w:val="24"/>
          <w:szCs w:val="24"/>
        </w:rPr>
        <w:t xml:space="preserve">Coefficients of correlation between </w:t>
      </w:r>
      <w:proofErr w:type="spellStart"/>
      <w:r w:rsidR="007452DB">
        <w:rPr>
          <w:sz w:val="24"/>
          <w:szCs w:val="24"/>
        </w:rPr>
        <w:t>landcover</w:t>
      </w:r>
      <w:proofErr w:type="spellEnd"/>
      <w:r w:rsidR="007452DB">
        <w:rPr>
          <w:sz w:val="24"/>
          <w:szCs w:val="24"/>
        </w:rPr>
        <w:t xml:space="preserve"> </w:t>
      </w:r>
      <w:r w:rsidR="00EE111F">
        <w:rPr>
          <w:sz w:val="24"/>
          <w:szCs w:val="24"/>
        </w:rPr>
        <w:t>amount and connectivity are in italics along the diagonal.</w:t>
      </w:r>
      <w:r w:rsidR="00EE111F" w:rsidRPr="00967DBD">
        <w:rPr>
          <w:sz w:val="24"/>
          <w:szCs w:val="24"/>
        </w:rPr>
        <w:t xml:space="preserve"> </w:t>
      </w:r>
      <w:r w:rsidRPr="00967DBD">
        <w:rPr>
          <w:sz w:val="24"/>
          <w:szCs w:val="24"/>
        </w:rPr>
        <w:t>Coefficients &gt;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>0.5</w:t>
      </w:r>
      <w:r>
        <w:rPr>
          <w:sz w:val="24"/>
          <w:szCs w:val="24"/>
        </w:rPr>
        <w:t>|</w:t>
      </w:r>
      <w:r w:rsidRPr="00967DBD">
        <w:rPr>
          <w:sz w:val="24"/>
          <w:szCs w:val="24"/>
        </w:rPr>
        <w:t xml:space="preserve"> are in bold font.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Edge</w:t>
            </w:r>
          </w:p>
        </w:tc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Forest 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E111F">
              <w:rPr>
                <w:i/>
                <w:sz w:val="24"/>
                <w:szCs w:val="24"/>
              </w:rPr>
              <w:t>0.10</w:t>
            </w:r>
          </w:p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-0.75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0.56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0.53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Agriculture 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7DBD">
              <w:rPr>
                <w:b/>
                <w:sz w:val="24"/>
                <w:szCs w:val="24"/>
              </w:rPr>
              <w:t>-0.65</w:t>
            </w:r>
          </w:p>
          <w:p w:rsidR="00332A0B" w:rsidRPr="00967DBD" w:rsidRDefault="00332A0B" w:rsidP="007E2F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111F">
              <w:rPr>
                <w:b/>
                <w:i/>
                <w:sz w:val="24"/>
                <w:szCs w:val="24"/>
              </w:rPr>
              <w:t>0.77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-0.25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-0.41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 xml:space="preserve">Edge 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0.31</w:t>
            </w:r>
          </w:p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0.31</w:t>
            </w:r>
          </w:p>
        </w:tc>
        <w:tc>
          <w:tcPr>
            <w:tcW w:w="1417" w:type="dxa"/>
            <w:shd w:val="clear" w:color="auto" w:fill="auto"/>
          </w:tcPr>
          <w:p w:rsidR="00332A0B" w:rsidRPr="00EE111F" w:rsidRDefault="00EE111F" w:rsidP="007E2FA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E111F">
              <w:rPr>
                <w:i/>
                <w:sz w:val="24"/>
                <w:szCs w:val="24"/>
              </w:rPr>
              <w:t>0.47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0.25</w:t>
            </w:r>
          </w:p>
        </w:tc>
      </w:tr>
      <w:tr w:rsidR="00332A0B" w:rsidRPr="00967DBD" w:rsidTr="007E2FAE">
        <w:tc>
          <w:tcPr>
            <w:tcW w:w="1417" w:type="dxa"/>
          </w:tcPr>
          <w:p w:rsidR="00332A0B" w:rsidRPr="00967DBD" w:rsidRDefault="00332A0B" w:rsidP="007E2FAE">
            <w:pPr>
              <w:spacing w:line="240" w:lineRule="auto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Home range overlap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-0.06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-0.35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DBD">
              <w:rPr>
                <w:sz w:val="24"/>
                <w:szCs w:val="24"/>
              </w:rPr>
              <w:t>-0.42</w:t>
            </w:r>
          </w:p>
        </w:tc>
        <w:tc>
          <w:tcPr>
            <w:tcW w:w="1417" w:type="dxa"/>
            <w:shd w:val="clear" w:color="auto" w:fill="auto"/>
          </w:tcPr>
          <w:p w:rsidR="00332A0B" w:rsidRPr="00967DBD" w:rsidRDefault="00332A0B" w:rsidP="007E2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2A0B" w:rsidRDefault="00332A0B" w:rsidP="003D4A2E">
      <w:pPr>
        <w:spacing w:line="360" w:lineRule="auto"/>
        <w:rPr>
          <w:sz w:val="24"/>
          <w:szCs w:val="24"/>
        </w:rPr>
      </w:pPr>
    </w:p>
    <w:sectPr w:rsidR="00332A0B" w:rsidSect="007E2FAE">
      <w:head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CA" w:rsidRDefault="00B37DCA">
      <w:pPr>
        <w:spacing w:line="240" w:lineRule="auto"/>
      </w:pPr>
      <w:r>
        <w:separator/>
      </w:r>
    </w:p>
  </w:endnote>
  <w:endnote w:type="continuationSeparator" w:id="0">
    <w:p w:rsidR="00B37DCA" w:rsidRDefault="00B3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CA" w:rsidRDefault="00B37DCA">
      <w:pPr>
        <w:spacing w:line="240" w:lineRule="auto"/>
      </w:pPr>
      <w:r>
        <w:separator/>
      </w:r>
    </w:p>
  </w:footnote>
  <w:footnote w:type="continuationSeparator" w:id="0">
    <w:p w:rsidR="00B37DCA" w:rsidRDefault="00B3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84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488" w:rsidRDefault="001754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488" w:rsidRDefault="0017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D9"/>
    <w:rsid w:val="00027265"/>
    <w:rsid w:val="00054792"/>
    <w:rsid w:val="00063257"/>
    <w:rsid w:val="000704D9"/>
    <w:rsid w:val="00075415"/>
    <w:rsid w:val="00084ACF"/>
    <w:rsid w:val="000920CF"/>
    <w:rsid w:val="000B577B"/>
    <w:rsid w:val="000D7102"/>
    <w:rsid w:val="001037D7"/>
    <w:rsid w:val="00123679"/>
    <w:rsid w:val="0013379A"/>
    <w:rsid w:val="0014540D"/>
    <w:rsid w:val="001504B6"/>
    <w:rsid w:val="00166A1D"/>
    <w:rsid w:val="00175488"/>
    <w:rsid w:val="00187022"/>
    <w:rsid w:val="001C6C3E"/>
    <w:rsid w:val="00207580"/>
    <w:rsid w:val="00220AE2"/>
    <w:rsid w:val="00221930"/>
    <w:rsid w:val="00222D85"/>
    <w:rsid w:val="00226D11"/>
    <w:rsid w:val="002327D5"/>
    <w:rsid w:val="00233099"/>
    <w:rsid w:val="00247676"/>
    <w:rsid w:val="00251031"/>
    <w:rsid w:val="002C2EAB"/>
    <w:rsid w:val="002F1B3D"/>
    <w:rsid w:val="003005B9"/>
    <w:rsid w:val="00312403"/>
    <w:rsid w:val="00332A0B"/>
    <w:rsid w:val="00356BBF"/>
    <w:rsid w:val="00367F31"/>
    <w:rsid w:val="003D4A2E"/>
    <w:rsid w:val="003E287E"/>
    <w:rsid w:val="00401AAE"/>
    <w:rsid w:val="00422BDA"/>
    <w:rsid w:val="0043090F"/>
    <w:rsid w:val="004555A3"/>
    <w:rsid w:val="0049700A"/>
    <w:rsid w:val="004A5981"/>
    <w:rsid w:val="004C6600"/>
    <w:rsid w:val="00510272"/>
    <w:rsid w:val="005104C6"/>
    <w:rsid w:val="00542A84"/>
    <w:rsid w:val="00561417"/>
    <w:rsid w:val="005701B0"/>
    <w:rsid w:val="005D06FD"/>
    <w:rsid w:val="005D4147"/>
    <w:rsid w:val="005D5FFD"/>
    <w:rsid w:val="00606849"/>
    <w:rsid w:val="00610535"/>
    <w:rsid w:val="00610CD4"/>
    <w:rsid w:val="0061751B"/>
    <w:rsid w:val="00620593"/>
    <w:rsid w:val="006549C1"/>
    <w:rsid w:val="00670214"/>
    <w:rsid w:val="00676743"/>
    <w:rsid w:val="00690DAF"/>
    <w:rsid w:val="006A5F04"/>
    <w:rsid w:val="006D73E8"/>
    <w:rsid w:val="006E4C5F"/>
    <w:rsid w:val="00701023"/>
    <w:rsid w:val="00702E79"/>
    <w:rsid w:val="00714203"/>
    <w:rsid w:val="007452DB"/>
    <w:rsid w:val="00767E3B"/>
    <w:rsid w:val="00772ED2"/>
    <w:rsid w:val="007E2FAE"/>
    <w:rsid w:val="007F6CFD"/>
    <w:rsid w:val="00805FB3"/>
    <w:rsid w:val="00806209"/>
    <w:rsid w:val="00807781"/>
    <w:rsid w:val="008243A6"/>
    <w:rsid w:val="008659D8"/>
    <w:rsid w:val="008D74F2"/>
    <w:rsid w:val="008F72DE"/>
    <w:rsid w:val="00922CF0"/>
    <w:rsid w:val="00930988"/>
    <w:rsid w:val="009473B1"/>
    <w:rsid w:val="00A45390"/>
    <w:rsid w:val="00A571B5"/>
    <w:rsid w:val="00A604AF"/>
    <w:rsid w:val="00A75C12"/>
    <w:rsid w:val="00AA017D"/>
    <w:rsid w:val="00AF2C47"/>
    <w:rsid w:val="00AF36B1"/>
    <w:rsid w:val="00AF777B"/>
    <w:rsid w:val="00B07F4A"/>
    <w:rsid w:val="00B25671"/>
    <w:rsid w:val="00B26D22"/>
    <w:rsid w:val="00B37DCA"/>
    <w:rsid w:val="00B4637A"/>
    <w:rsid w:val="00B626BA"/>
    <w:rsid w:val="00B64310"/>
    <w:rsid w:val="00B80214"/>
    <w:rsid w:val="00B80448"/>
    <w:rsid w:val="00B84884"/>
    <w:rsid w:val="00B85EC7"/>
    <w:rsid w:val="00BA2C7A"/>
    <w:rsid w:val="00BD07A5"/>
    <w:rsid w:val="00BE5870"/>
    <w:rsid w:val="00C1756E"/>
    <w:rsid w:val="00C31CF7"/>
    <w:rsid w:val="00C41D35"/>
    <w:rsid w:val="00C8066A"/>
    <w:rsid w:val="00C8350A"/>
    <w:rsid w:val="00C85759"/>
    <w:rsid w:val="00CB65F8"/>
    <w:rsid w:val="00CC12D5"/>
    <w:rsid w:val="00CD5555"/>
    <w:rsid w:val="00D17383"/>
    <w:rsid w:val="00D23C98"/>
    <w:rsid w:val="00D24F6D"/>
    <w:rsid w:val="00D561CD"/>
    <w:rsid w:val="00D67DB3"/>
    <w:rsid w:val="00DD1643"/>
    <w:rsid w:val="00DD728B"/>
    <w:rsid w:val="00DE3220"/>
    <w:rsid w:val="00E02041"/>
    <w:rsid w:val="00E05951"/>
    <w:rsid w:val="00E36D42"/>
    <w:rsid w:val="00E758C1"/>
    <w:rsid w:val="00E85AF0"/>
    <w:rsid w:val="00EB6232"/>
    <w:rsid w:val="00EC3AA9"/>
    <w:rsid w:val="00ED61E6"/>
    <w:rsid w:val="00EE111F"/>
    <w:rsid w:val="00F344A2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D9"/>
    <w:pPr>
      <w:spacing w:after="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4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A2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A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4A2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4A2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4A2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4A2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4A2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4A2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4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4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4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4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4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4A2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4A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4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4A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44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344A2"/>
    <w:rPr>
      <w:b/>
      <w:bCs/>
    </w:rPr>
  </w:style>
  <w:style w:type="character" w:styleId="Emphasis">
    <w:name w:val="Emphasis"/>
    <w:basedOn w:val="DefaultParagraphFont"/>
    <w:uiPriority w:val="20"/>
    <w:qFormat/>
    <w:rsid w:val="00F344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34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4A2"/>
    <w:pPr>
      <w:spacing w:after="200" w:line="288" w:lineRule="auto"/>
      <w:ind w:left="720"/>
      <w:contextualSpacing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44A2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344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4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4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44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344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44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344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344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344A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7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D9"/>
    <w:rPr>
      <w:sz w:val="20"/>
      <w:szCs w:val="20"/>
    </w:rPr>
  </w:style>
  <w:style w:type="table" w:styleId="TableGrid">
    <w:name w:val="Table Grid"/>
    <w:basedOn w:val="TableNormal"/>
    <w:uiPriority w:val="59"/>
    <w:rsid w:val="000704D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D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04D9"/>
  </w:style>
  <w:style w:type="paragraph" w:styleId="BalloonText">
    <w:name w:val="Balloon Text"/>
    <w:basedOn w:val="Normal"/>
    <w:link w:val="BalloonTextChar"/>
    <w:uiPriority w:val="99"/>
    <w:semiHidden/>
    <w:unhideWhenUsed/>
    <w:rsid w:val="00070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</dc:creator>
  <cp:lastModifiedBy> Erin Koen</cp:lastModifiedBy>
  <cp:revision>9</cp:revision>
  <dcterms:created xsi:type="dcterms:W3CDTF">2016-07-30T19:29:00Z</dcterms:created>
  <dcterms:modified xsi:type="dcterms:W3CDTF">2017-01-29T18:23:00Z</dcterms:modified>
</cp:coreProperties>
</file>