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93" w:rsidRDefault="00732093" w:rsidP="00732093">
      <w:pPr>
        <w:pStyle w:val="Titre2"/>
        <w:rPr>
          <w:bCs w:val="0"/>
          <w:iCs/>
          <w:sz w:val="26"/>
          <w:szCs w:val="24"/>
          <w:highlight w:val="none"/>
        </w:rPr>
      </w:pPr>
      <w:r w:rsidRPr="00BE7F1F">
        <w:rPr>
          <w:bCs w:val="0"/>
          <w:iCs/>
          <w:sz w:val="26"/>
          <w:szCs w:val="24"/>
          <w:highlight w:val="none"/>
        </w:rPr>
        <w:t>S</w:t>
      </w:r>
      <w:r w:rsidR="004C102A">
        <w:rPr>
          <w:bCs w:val="0"/>
          <w:iCs/>
          <w:sz w:val="26"/>
          <w:szCs w:val="24"/>
          <w:highlight w:val="none"/>
        </w:rPr>
        <w:t>7</w:t>
      </w:r>
      <w:r>
        <w:rPr>
          <w:bCs w:val="0"/>
          <w:iCs/>
          <w:sz w:val="26"/>
          <w:szCs w:val="24"/>
          <w:highlight w:val="none"/>
        </w:rPr>
        <w:t xml:space="preserve"> </w:t>
      </w:r>
      <w:r w:rsidRPr="00BE7F1F">
        <w:rPr>
          <w:bCs w:val="0"/>
          <w:iCs/>
          <w:sz w:val="26"/>
          <w:szCs w:val="24"/>
          <w:highlight w:val="none"/>
        </w:rPr>
        <w:t xml:space="preserve">Table. </w:t>
      </w:r>
      <w:r>
        <w:rPr>
          <w:bCs w:val="0"/>
          <w:iCs/>
          <w:sz w:val="26"/>
          <w:szCs w:val="24"/>
          <w:highlight w:val="none"/>
        </w:rPr>
        <w:t xml:space="preserve">Association statistics comparison with and without the </w:t>
      </w:r>
      <w:r w:rsidR="00FC505F">
        <w:rPr>
          <w:bCs w:val="0"/>
          <w:iCs/>
          <w:sz w:val="26"/>
          <w:szCs w:val="24"/>
          <w:highlight w:val="none"/>
        </w:rPr>
        <w:t>85</w:t>
      </w:r>
      <w:r>
        <w:rPr>
          <w:bCs w:val="0"/>
          <w:iCs/>
          <w:sz w:val="26"/>
          <w:szCs w:val="24"/>
          <w:highlight w:val="none"/>
        </w:rPr>
        <w:t xml:space="preserve"> FDCM cases</w:t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1350"/>
        <w:gridCol w:w="2116"/>
        <w:gridCol w:w="1179"/>
        <w:gridCol w:w="2173"/>
        <w:gridCol w:w="1179"/>
        <w:gridCol w:w="1190"/>
        <w:gridCol w:w="45"/>
      </w:tblGrid>
      <w:tr w:rsidR="00A97C8E" w:rsidRPr="00B26878" w:rsidTr="00A97C8E">
        <w:trPr>
          <w:trHeight w:val="384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68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268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All cases 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B268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Without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85</w:t>
            </w:r>
            <w:r w:rsidRPr="00B268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FDCM cases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C8E" w:rsidRPr="00B26878" w:rsidRDefault="00A97C8E" w:rsidP="00BE7F1F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97C8E" w:rsidRPr="00B26878" w:rsidTr="00A97C8E">
        <w:trPr>
          <w:gridAfter w:val="1"/>
          <w:wAfter w:w="47" w:type="dxa"/>
          <w:trHeight w:val="636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SNP </w:t>
            </w:r>
            <w:proofErr w:type="spellStart"/>
            <w:r w:rsidRPr="00B26878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B26878">
              <w:rPr>
                <w:rFonts w:ascii="Times New Roman" w:eastAsia="Times New Roman" w:hAnsi="Times New Roman" w:cs="Times New Roman"/>
              </w:rPr>
              <w:t xml:space="preserve"> number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MAF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P-value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MAF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P-value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Gene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rs848210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A: 0.4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6.3x10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A: 0.44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SPEN</w:t>
            </w:r>
            <w:bookmarkStart w:id="0" w:name="_GoBack"/>
            <w:bookmarkEnd w:id="0"/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rs10927875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A: 0.3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8.1x10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A: 0.31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ZBTB17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rs3829746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G: 0.2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3.4x10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G: 0.2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TTN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rs13107325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A: 0.08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6.0x10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A: 0.08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SLC39A8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rs4712056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G: 0.35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5.1x10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G: 0.35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MLIP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rs2291569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A: 0.08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8.7x10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A: 0.08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FLNC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rs2234962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G: 0.19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1.7x10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-25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G: 0.19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BAG3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rs3188055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G: 0.3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1.1x10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G: 0.3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INPP5F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B26878">
              <w:rPr>
                <w:rFonts w:ascii="Times New Roman" w:eastAsia="Times New Roman" w:hAnsi="Times New Roman" w:cs="Times New Roman"/>
              </w:rPr>
              <w:t>rs1051168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A: 0.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4.1x10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 xml:space="preserve">A: 0.30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NMB</w:t>
            </w:r>
          </w:p>
        </w:tc>
      </w:tr>
      <w:tr w:rsidR="00A97C8E" w:rsidRPr="00B26878" w:rsidTr="00A97C8E">
        <w:trPr>
          <w:gridAfter w:val="1"/>
          <w:wAfter w:w="47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B26878">
              <w:rPr>
                <w:rFonts w:ascii="Times New Roman" w:eastAsia="Times New Roman" w:hAnsi="Times New Roman" w:cs="Times New Roman"/>
              </w:rPr>
              <w:t>rs3803403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G: 0.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2.9x10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G: 0.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ALPK3</w:t>
            </w:r>
          </w:p>
        </w:tc>
      </w:tr>
      <w:tr w:rsidR="00A97C8E" w:rsidRPr="00B26878" w:rsidTr="00A97C8E">
        <w:trPr>
          <w:gridAfter w:val="1"/>
          <w:wAfter w:w="48" w:type="dxa"/>
          <w:trHeight w:val="384"/>
        </w:trPr>
        <w:tc>
          <w:tcPr>
            <w:tcW w:w="135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rs2303510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A: 0.3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1.5x10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A: 0.3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268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Pr="00B26878">
              <w:rPr>
                <w:rFonts w:ascii="Times New Roman" w:eastAsia="Times New Roman" w:hAnsi="Times New Roman" w:cs="Times New Roman"/>
              </w:rPr>
              <w:t>x10</w:t>
            </w:r>
            <w:r w:rsidRPr="00B26878">
              <w:rPr>
                <w:rFonts w:ascii="Times New Roman" w:eastAsia="Times New Roman" w:hAnsi="Times New Roman" w:cs="Times New Roman"/>
                <w:vertAlign w:val="superscript"/>
              </w:rPr>
              <w:t>-07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A97C8E" w:rsidRPr="00B26878" w:rsidRDefault="00A97C8E" w:rsidP="00BE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6878">
              <w:rPr>
                <w:rFonts w:ascii="Times New Roman" w:eastAsia="Times New Roman" w:hAnsi="Times New Roman" w:cs="Times New Roman"/>
              </w:rPr>
              <w:t>FHOD3</w:t>
            </w:r>
          </w:p>
        </w:tc>
      </w:tr>
    </w:tbl>
    <w:p w:rsidR="00732093" w:rsidRPr="00C561D1" w:rsidRDefault="00732093" w:rsidP="00732093">
      <w:pPr>
        <w:pStyle w:val="Bibliographie"/>
      </w:pPr>
      <w:r w:rsidRPr="00C561D1">
        <w:t>MAF, minor allele frequency</w:t>
      </w:r>
      <w:r>
        <w:t>. For gene symbols, refer to table 1. *For rs1051168 (</w:t>
      </w:r>
      <w:r>
        <w:rPr>
          <w:i/>
        </w:rPr>
        <w:t>NMB</w:t>
      </w:r>
      <w:r>
        <w:t>) and rs3803403 (</w:t>
      </w:r>
      <w:r>
        <w:rPr>
          <w:i/>
        </w:rPr>
        <w:t>ALPK3</w:t>
      </w:r>
      <w:r>
        <w:t xml:space="preserve">) the result of the dominant model is shown as it is better supported than the additive test which is </w:t>
      </w:r>
      <w:r>
        <w:rPr>
          <w:color w:val="000000" w:themeColor="text1"/>
        </w:rPr>
        <w:t>presented for all other variants</w:t>
      </w:r>
      <w:r w:rsidRPr="005774F1">
        <w:rPr>
          <w:color w:val="000000" w:themeColor="text1"/>
        </w:rPr>
        <w:t>.</w:t>
      </w:r>
    </w:p>
    <w:p w:rsidR="00F13ACA" w:rsidRDefault="00F13ACA"/>
    <w:sectPr w:rsidR="00F13A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3"/>
    <w:rsid w:val="004C102A"/>
    <w:rsid w:val="00732093"/>
    <w:rsid w:val="00A97C8E"/>
    <w:rsid w:val="00F13ACA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87BBE0-EDEC-4977-B866-171C31A1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93"/>
    <w:pPr>
      <w:spacing w:after="200" w:line="240" w:lineRule="auto"/>
    </w:pPr>
    <w:rPr>
      <w:rFonts w:ascii="Cambria" w:eastAsia="Cambria" w:hAnsi="Cambria"/>
      <w:color w:val="00000A"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732093"/>
    <w:pPr>
      <w:keepNext/>
      <w:keepLines/>
      <w:pBdr>
        <w:bottom w:val="single" w:sz="2" w:space="1" w:color="000000"/>
      </w:pBdr>
      <w:spacing w:before="200" w:after="0"/>
      <w:outlineLvl w:val="1"/>
    </w:pPr>
    <w:rPr>
      <w:rFonts w:ascii="Arial" w:eastAsiaTheme="majorEastAsia" w:hAnsi="Arial" w:cstheme="majorBidi"/>
      <w:b/>
      <w:bCs/>
      <w:color w:val="000000"/>
      <w:sz w:val="32"/>
      <w:szCs w:val="32"/>
      <w:highlight w:val="whit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2093"/>
    <w:rPr>
      <w:rFonts w:ascii="Arial" w:eastAsiaTheme="majorEastAsia" w:hAnsi="Arial" w:cstheme="majorBidi"/>
      <w:b/>
      <w:bCs/>
      <w:color w:val="000000"/>
      <w:sz w:val="32"/>
      <w:szCs w:val="32"/>
      <w:highlight w:val="white"/>
    </w:rPr>
  </w:style>
  <w:style w:type="paragraph" w:styleId="Bibliographie">
    <w:name w:val="Bibliography"/>
    <w:basedOn w:val="Normal"/>
    <w:qFormat/>
    <w:rsid w:val="007320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Villard</dc:creator>
  <cp:keywords/>
  <dc:description/>
  <cp:lastModifiedBy>eric Villard</cp:lastModifiedBy>
  <cp:revision>4</cp:revision>
  <dcterms:created xsi:type="dcterms:W3CDTF">2016-12-06T14:28:00Z</dcterms:created>
  <dcterms:modified xsi:type="dcterms:W3CDTF">2016-12-06T15:46:00Z</dcterms:modified>
</cp:coreProperties>
</file>