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jc w:val="center"/>
        <w:tblLook w:val="04A0" w:firstRow="1" w:lastRow="0" w:firstColumn="1" w:lastColumn="0" w:noHBand="0" w:noVBand="1"/>
      </w:tblPr>
      <w:tblGrid>
        <w:gridCol w:w="658"/>
        <w:gridCol w:w="1582"/>
        <w:gridCol w:w="1096"/>
        <w:gridCol w:w="6337"/>
      </w:tblGrid>
      <w:tr w:rsidR="00CE3D18" w:rsidRPr="00D50522" w:rsidTr="00ED0545">
        <w:trPr>
          <w:trHeight w:val="280"/>
          <w:jc w:val="center"/>
        </w:trPr>
        <w:tc>
          <w:tcPr>
            <w:tcW w:w="9673" w:type="dxa"/>
            <w:gridSpan w:val="4"/>
            <w:tcBorders>
              <w:top w:val="nil"/>
              <w:left w:val="nil"/>
              <w:bottom w:val="nil"/>
              <w:right w:val="nil"/>
            </w:tcBorders>
            <w:shd w:val="clear" w:color="auto" w:fill="auto"/>
            <w:noWrap/>
            <w:vAlign w:val="bottom"/>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Table </w:t>
            </w:r>
            <w:r>
              <w:rPr>
                <w:rFonts w:ascii="Times New Roman" w:eastAsia="Times New Roman" w:hAnsi="Times New Roman" w:cs="Times New Roman"/>
                <w:color w:val="000000"/>
                <w:sz w:val="24"/>
                <w:szCs w:val="24"/>
                <w:lang w:eastAsia="en-GB"/>
              </w:rPr>
              <w:t>2</w:t>
            </w:r>
            <w:r w:rsidRPr="00D50522">
              <w:rPr>
                <w:rFonts w:ascii="Times New Roman" w:eastAsia="Times New Roman" w:hAnsi="Times New Roman" w:cs="Times New Roman"/>
                <w:color w:val="000000"/>
                <w:sz w:val="24"/>
                <w:szCs w:val="24"/>
                <w:lang w:eastAsia="en-GB"/>
              </w:rPr>
              <w:t>: Household well</w:t>
            </w:r>
            <w:r>
              <w:rPr>
                <w:rFonts w:ascii="Times New Roman" w:eastAsia="Times New Roman" w:hAnsi="Times New Roman" w:cs="Times New Roman"/>
                <w:color w:val="000000"/>
                <w:sz w:val="24"/>
                <w:szCs w:val="24"/>
                <w:lang w:eastAsia="en-GB"/>
              </w:rPr>
              <w:t>-</w:t>
            </w:r>
            <w:r w:rsidRPr="00D50522">
              <w:rPr>
                <w:rFonts w:ascii="Times New Roman" w:eastAsia="Times New Roman" w:hAnsi="Times New Roman" w:cs="Times New Roman"/>
                <w:color w:val="000000"/>
                <w:sz w:val="24"/>
                <w:szCs w:val="24"/>
                <w:lang w:eastAsia="en-GB"/>
              </w:rPr>
              <w:t>being score card used</w:t>
            </w:r>
          </w:p>
        </w:tc>
      </w:tr>
      <w:tr w:rsidR="00CE3D18" w:rsidRPr="00D50522" w:rsidTr="002E79C5">
        <w:trPr>
          <w:trHeight w:val="280"/>
          <w:jc w:val="center"/>
        </w:trPr>
        <w:tc>
          <w:tcPr>
            <w:tcW w:w="658" w:type="dxa"/>
            <w:tcBorders>
              <w:top w:val="single" w:sz="4" w:space="0" w:color="auto"/>
              <w:left w:val="nil"/>
              <w:bottom w:val="single" w:sz="4" w:space="0" w:color="auto"/>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w:t>
            </w:r>
          </w:p>
        </w:tc>
        <w:tc>
          <w:tcPr>
            <w:tcW w:w="1582" w:type="dxa"/>
            <w:tcBorders>
              <w:top w:val="single" w:sz="4" w:space="0" w:color="auto"/>
              <w:left w:val="nil"/>
              <w:bottom w:val="single" w:sz="4" w:space="0" w:color="auto"/>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Indicator</w:t>
            </w:r>
          </w:p>
        </w:tc>
        <w:tc>
          <w:tcPr>
            <w:tcW w:w="1096" w:type="dxa"/>
            <w:tcBorders>
              <w:top w:val="single" w:sz="4" w:space="0" w:color="auto"/>
              <w:left w:val="nil"/>
              <w:bottom w:val="single" w:sz="4" w:space="0" w:color="auto"/>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Category</w:t>
            </w:r>
          </w:p>
        </w:tc>
        <w:tc>
          <w:tcPr>
            <w:tcW w:w="6337" w:type="dxa"/>
            <w:tcBorders>
              <w:top w:val="single" w:sz="4" w:space="0" w:color="auto"/>
              <w:left w:val="nil"/>
              <w:bottom w:val="single" w:sz="4" w:space="0" w:color="auto"/>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Description </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w:t>
            </w:r>
          </w:p>
        </w:tc>
        <w:tc>
          <w:tcPr>
            <w:tcW w:w="1582" w:type="dxa"/>
            <w:tcBorders>
              <w:top w:val="nil"/>
              <w:left w:val="nil"/>
              <w:bottom w:val="nil"/>
              <w:right w:val="nil"/>
            </w:tcBorders>
            <w:shd w:val="clear" w:color="auto" w:fill="auto"/>
            <w:noWrap/>
            <w:hideMark/>
          </w:tcPr>
          <w:p w:rsidR="00CE3D18" w:rsidRPr="00D50522" w:rsidRDefault="00CE3D18" w:rsidP="00ED0545">
            <w:pPr>
              <w:tabs>
                <w:tab w:val="left" w:pos="930"/>
              </w:tabs>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Food</w:t>
            </w:r>
            <w:r w:rsidRPr="00D50522">
              <w:rPr>
                <w:rFonts w:ascii="Times New Roman" w:eastAsia="Times New Roman" w:hAnsi="Times New Roman" w:cs="Times New Roman"/>
                <w:color w:val="000000"/>
                <w:sz w:val="24"/>
                <w:szCs w:val="24"/>
                <w:lang w:eastAsia="en-GB"/>
              </w:rPr>
              <w:tab/>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Two meals a day</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One meal per day</w:t>
            </w:r>
          </w:p>
        </w:tc>
      </w:tr>
      <w:tr w:rsidR="00CE3D18" w:rsidRPr="00D50522" w:rsidTr="002E79C5">
        <w:trPr>
          <w:trHeight w:val="241"/>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Sleep hungry at times, beg for food, can't afford food</w:t>
            </w:r>
          </w:p>
        </w:tc>
      </w:tr>
      <w:tr w:rsidR="00CE3D18" w:rsidRPr="00D50522" w:rsidTr="002E79C5">
        <w:trPr>
          <w:trHeight w:val="131"/>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Food security</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not experienced a period of food shortage within the last year</w:t>
            </w:r>
          </w:p>
        </w:tc>
      </w:tr>
      <w:tr w:rsidR="00CE3D18" w:rsidRPr="00D50522" w:rsidTr="002E79C5">
        <w:trPr>
          <w:trHeight w:val="281"/>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experienced a period of food shortage within the last year, lasted &lt;2months</w:t>
            </w:r>
          </w:p>
        </w:tc>
      </w:tr>
      <w:tr w:rsidR="00CE3D18" w:rsidRPr="00D50522" w:rsidTr="002E79C5">
        <w:trPr>
          <w:trHeight w:val="28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experienced a period of food shortage within the last year, lasted &gt;2months</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3</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Feed</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Frequently buys sugar, meat and fries food</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Occasionally buys sugar, meat and fries food</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Rarely buys sugar, meat and fries food</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4</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Animals</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Somebody in the household has cattle</w:t>
            </w:r>
          </w:p>
        </w:tc>
      </w:tr>
      <w:tr w:rsidR="00CE3D18" w:rsidRPr="00D50522" w:rsidTr="002E79C5">
        <w:trPr>
          <w:trHeight w:val="277"/>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Nobody in the household has cattle, but they have goats, sheep, pigs, poultry)</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Nobody in the household has any animals</w:t>
            </w:r>
          </w:p>
        </w:tc>
      </w:tr>
      <w:tr w:rsidR="00CE3D18" w:rsidRPr="00D50522" w:rsidTr="002E79C5">
        <w:trPr>
          <w:trHeight w:val="34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5</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Land</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Own land (leasehold, customary and freehold) more than 5 acres (2.0ha)</w:t>
            </w:r>
          </w:p>
        </w:tc>
      </w:tr>
      <w:tr w:rsidR="00CE3D18" w:rsidRPr="00D50522" w:rsidTr="002E79C5">
        <w:trPr>
          <w:trHeight w:val="281"/>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Own Land (leasehold, customary and freehold) less than 5 acres (2.0ha)</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Do not own land or own less than 1acre (0.4ha)</w:t>
            </w:r>
          </w:p>
        </w:tc>
      </w:tr>
      <w:tr w:rsidR="00CE3D18" w:rsidRPr="00D50522" w:rsidTr="002E79C5">
        <w:trPr>
          <w:trHeight w:val="557"/>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6</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Off</w:t>
            </w:r>
            <w:r>
              <w:rPr>
                <w:rFonts w:ascii="Times New Roman" w:eastAsia="Times New Roman" w:hAnsi="Times New Roman" w:cs="Times New Roman"/>
                <w:color w:val="000000"/>
                <w:sz w:val="24"/>
                <w:szCs w:val="24"/>
                <w:lang w:eastAsia="en-GB"/>
              </w:rPr>
              <w:t>-</w:t>
            </w:r>
            <w:r w:rsidRPr="00D50522">
              <w:rPr>
                <w:rFonts w:ascii="Times New Roman" w:eastAsia="Times New Roman" w:hAnsi="Times New Roman" w:cs="Times New Roman"/>
                <w:color w:val="000000"/>
                <w:sz w:val="24"/>
                <w:szCs w:val="24"/>
                <w:lang w:eastAsia="en-GB"/>
              </w:rPr>
              <w:t>farm employment</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Somebody in the household has 'high entry costs' a job like professional, business (trading, transport) (more paying)</w:t>
            </w:r>
          </w:p>
        </w:tc>
      </w:tr>
      <w:tr w:rsidR="00CE3D18" w:rsidRPr="00D50522" w:rsidTr="002E79C5">
        <w:trPr>
          <w:trHeight w:val="578"/>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Somebody from the household has off-farm income like tailoring, building, craft making, brewing beer, charcoal, selling food</w:t>
            </w:r>
          </w:p>
        </w:tc>
      </w:tr>
      <w:tr w:rsidR="00CE3D18" w:rsidRPr="00D50522" w:rsidTr="002E79C5">
        <w:trPr>
          <w:trHeight w:val="27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Nobody from the household is engaged in off-farm employment</w:t>
            </w:r>
          </w:p>
        </w:tc>
      </w:tr>
      <w:tr w:rsidR="00CE3D18" w:rsidRPr="00D50522" w:rsidTr="002E79C5">
        <w:trPr>
          <w:trHeight w:val="265"/>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7</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Labour </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Nobody from the household works for others as a casual labourer</w:t>
            </w:r>
          </w:p>
        </w:tc>
      </w:tr>
      <w:tr w:rsidR="00CE3D18" w:rsidRPr="00D50522" w:rsidTr="002E79C5">
        <w:trPr>
          <w:trHeight w:val="70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Somebody from the household works for others as casual labourer, but either only 3 months or less per year or more than three months but not more than once a week</w:t>
            </w:r>
          </w:p>
        </w:tc>
      </w:tr>
      <w:tr w:rsidR="00CE3D18" w:rsidRPr="00D50522" w:rsidTr="002E79C5">
        <w:trPr>
          <w:trHeight w:val="519"/>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Somebody from the household works for others as a casual labourer more than 3 months per year or less than 3 months per year but almost everyday</w:t>
            </w:r>
          </w:p>
        </w:tc>
      </w:tr>
      <w:tr w:rsidR="00CE3D18" w:rsidRPr="00D50522" w:rsidTr="002E79C5">
        <w:trPr>
          <w:trHeight w:val="561"/>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8</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Hire labour</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Hire labourers for at least two of the following tasks: land clearing, ploughing, planting, wedding, harvesting</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Sometimes hire labour</w:t>
            </w:r>
          </w:p>
        </w:tc>
      </w:tr>
      <w:tr w:rsidR="00CE3D18" w:rsidRPr="00D50522" w:rsidTr="002E79C5">
        <w:trPr>
          <w:trHeight w:val="28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Do not hire labourers or hire labourers for one task only</w:t>
            </w:r>
          </w:p>
        </w:tc>
      </w:tr>
      <w:tr w:rsidR="00CE3D18" w:rsidRPr="00D50522" w:rsidTr="002E79C5">
        <w:trPr>
          <w:trHeight w:val="294"/>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9</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Housing</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houses with bricks or plastered walls and iron or tile roof</w:t>
            </w:r>
          </w:p>
        </w:tc>
      </w:tr>
      <w:tr w:rsidR="00CE3D18" w:rsidRPr="00D50522" w:rsidTr="002E79C5">
        <w:trPr>
          <w:trHeight w:val="27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houses with unburned bricks old iron sheets, grass thatched but very neat</w:t>
            </w:r>
          </w:p>
        </w:tc>
      </w:tr>
      <w:tr w:rsidR="00CE3D18" w:rsidRPr="00D50522" w:rsidTr="002E79C5">
        <w:trPr>
          <w:trHeight w:val="147"/>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houses with Mud walls, grass thatched roofs, need repairs</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10</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Education</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Have children or somebody in a private school </w:t>
            </w:r>
          </w:p>
        </w:tc>
      </w:tr>
      <w:tr w:rsidR="00CE3D18" w:rsidRPr="00D50522" w:rsidTr="002E79C5">
        <w:trPr>
          <w:trHeight w:val="27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Have not had anyone in private school or secondary school</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Children are not in school</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11</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Dressing</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Own shoes, new clothes within the last 3</w:t>
            </w:r>
            <w:r>
              <w:rPr>
                <w:rFonts w:ascii="Times New Roman" w:eastAsia="Times New Roman" w:hAnsi="Times New Roman" w:cs="Times New Roman"/>
                <w:color w:val="000000"/>
                <w:sz w:val="24"/>
                <w:szCs w:val="24"/>
                <w:lang w:eastAsia="en-GB"/>
              </w:rPr>
              <w:t xml:space="preserve"> </w:t>
            </w:r>
            <w:r w:rsidRPr="00D50522">
              <w:rPr>
                <w:rFonts w:ascii="Times New Roman" w:eastAsia="Times New Roman" w:hAnsi="Times New Roman" w:cs="Times New Roman"/>
                <w:color w:val="000000"/>
                <w:sz w:val="24"/>
                <w:szCs w:val="24"/>
                <w:lang w:eastAsia="en-GB"/>
              </w:rPr>
              <w:t>months</w:t>
            </w:r>
          </w:p>
        </w:tc>
      </w:tr>
      <w:tr w:rsidR="00CE3D18" w:rsidRPr="00D50522" w:rsidTr="002E79C5">
        <w:trPr>
          <w:trHeight w:val="463"/>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Does not own shoes or at least got new clothes 6</w:t>
            </w:r>
            <w:r>
              <w:rPr>
                <w:rFonts w:ascii="Times New Roman" w:eastAsia="Times New Roman" w:hAnsi="Times New Roman" w:cs="Times New Roman"/>
                <w:color w:val="000000"/>
                <w:sz w:val="24"/>
                <w:szCs w:val="24"/>
                <w:lang w:eastAsia="en-GB"/>
              </w:rPr>
              <w:t xml:space="preserve"> </w:t>
            </w:r>
            <w:r w:rsidRPr="00D50522">
              <w:rPr>
                <w:rFonts w:ascii="Times New Roman" w:eastAsia="Times New Roman" w:hAnsi="Times New Roman" w:cs="Times New Roman"/>
                <w:color w:val="000000"/>
                <w:sz w:val="24"/>
                <w:szCs w:val="24"/>
                <w:lang w:eastAsia="en-GB"/>
              </w:rPr>
              <w:t>months ago, children are almost naked</w:t>
            </w:r>
          </w:p>
        </w:tc>
      </w:tr>
      <w:tr w:rsidR="00CE3D18" w:rsidRPr="00D50522" w:rsidTr="002E79C5">
        <w:trPr>
          <w:trHeight w:val="145"/>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Both woman and children last had new clothes a year ago</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12</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Bedding </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Sleep in a bed and mattress, even the children </w:t>
            </w:r>
          </w:p>
        </w:tc>
      </w:tr>
      <w:tr w:rsidR="00CE3D18" w:rsidRPr="00D50522" w:rsidTr="002E79C5">
        <w:trPr>
          <w:trHeight w:val="328"/>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Only parents sleep on a mattress, children on a mat or polythene</w:t>
            </w:r>
          </w:p>
        </w:tc>
      </w:tr>
      <w:tr w:rsidR="00CE3D18" w:rsidRPr="00D50522" w:rsidTr="002E79C5">
        <w:trPr>
          <w:trHeight w:val="29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All of them on a polythene, or mat no one owns a mattress</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13</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Marital status</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Household head is male or married woman</w:t>
            </w:r>
          </w:p>
        </w:tc>
      </w:tr>
      <w:tr w:rsidR="00CE3D18" w:rsidRPr="00D50522" w:rsidTr="002E79C5">
        <w:trPr>
          <w:trHeight w:val="284"/>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Household head is a widow, single or divorced woman</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Household head is orphaned child, youth</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14</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Age</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2F7FC9"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sidRPr="002F7FC9">
              <w:rPr>
                <w:rFonts w:ascii="Times New Roman" w:eastAsia="Times New Roman" w:hAnsi="Times New Roman" w:cs="Times New Roman"/>
                <w:color w:val="000000"/>
                <w:sz w:val="24"/>
                <w:szCs w:val="24"/>
                <w:lang w:eastAsia="en-GB"/>
              </w:rPr>
              <w:t>Old (56-91 years)</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2F7FC9"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sidRPr="002F7FC9">
              <w:rPr>
                <w:rFonts w:ascii="Times New Roman" w:eastAsia="Times New Roman" w:hAnsi="Times New Roman" w:cs="Times New Roman"/>
                <w:color w:val="000000"/>
                <w:sz w:val="24"/>
                <w:szCs w:val="24"/>
                <w:lang w:eastAsia="en-GB"/>
              </w:rPr>
              <w:t>Middle-aged (36-55 years)</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2F7FC9" w:rsidRDefault="005219F0" w:rsidP="005219F0">
            <w:pPr>
              <w:spacing w:after="0" w:line="480" w:lineRule="auto"/>
              <w:contextualSpacing/>
              <w:jc w:val="both"/>
              <w:rPr>
                <w:rFonts w:ascii="Times New Roman" w:eastAsia="Times New Roman" w:hAnsi="Times New Roman" w:cs="Times New Roman"/>
                <w:color w:val="000000"/>
                <w:sz w:val="24"/>
                <w:szCs w:val="24"/>
                <w:lang w:eastAsia="en-GB"/>
              </w:rPr>
            </w:pPr>
            <w:r w:rsidRPr="002F7FC9">
              <w:rPr>
                <w:rFonts w:ascii="Times New Roman" w:eastAsia="Times New Roman" w:hAnsi="Times New Roman" w:cs="Times New Roman"/>
                <w:color w:val="000000"/>
                <w:sz w:val="24"/>
                <w:szCs w:val="24"/>
                <w:lang w:eastAsia="en-GB"/>
              </w:rPr>
              <w:t>Youth (17 -35 years)</w:t>
            </w:r>
          </w:p>
        </w:tc>
      </w:tr>
      <w:tr w:rsidR="00CE3D18" w:rsidRPr="00D50522" w:rsidTr="002E79C5">
        <w:trPr>
          <w:trHeight w:val="276"/>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15</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Social capital</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2F7FC9"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2F7FC9">
              <w:rPr>
                <w:rFonts w:ascii="Times New Roman" w:eastAsia="Times New Roman" w:hAnsi="Times New Roman" w:cs="Times New Roman"/>
                <w:color w:val="000000"/>
                <w:sz w:val="24"/>
                <w:szCs w:val="24"/>
                <w:lang w:eastAsia="en-GB"/>
              </w:rPr>
              <w:t>In many associations (farmer groups, burial groups, community groups)</w:t>
            </w:r>
          </w:p>
        </w:tc>
      </w:tr>
      <w:tr w:rsidR="00CE3D18" w:rsidRPr="00D50522" w:rsidTr="002E79C5">
        <w:trPr>
          <w:trHeight w:val="294"/>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Not in any association</w:t>
            </w:r>
            <w:bookmarkStart w:id="0" w:name="_GoBack"/>
            <w:bookmarkEnd w:id="0"/>
            <w:r w:rsidRPr="00D50522">
              <w:rPr>
                <w:rFonts w:ascii="Times New Roman" w:eastAsia="Times New Roman" w:hAnsi="Times New Roman" w:cs="Times New Roman"/>
                <w:color w:val="000000"/>
                <w:sz w:val="24"/>
                <w:szCs w:val="24"/>
                <w:lang w:eastAsia="en-GB"/>
              </w:rPr>
              <w:t xml:space="preserve"> (farmer groups, community groups)</w:t>
            </w:r>
          </w:p>
        </w:tc>
      </w:tr>
      <w:tr w:rsidR="00CE3D18" w:rsidRPr="00D50522" w:rsidTr="002E79C5">
        <w:trPr>
          <w:trHeight w:val="27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Unable to join a burial group (cannot pay subscription)</w:t>
            </w:r>
          </w:p>
        </w:tc>
      </w:tr>
      <w:tr w:rsidR="00CE3D18" w:rsidRPr="00D50522" w:rsidTr="002E79C5">
        <w:trPr>
          <w:trHeight w:val="280"/>
          <w:jc w:val="center"/>
        </w:trPr>
        <w:tc>
          <w:tcPr>
            <w:tcW w:w="658"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16</w:t>
            </w:r>
          </w:p>
        </w:tc>
        <w:tc>
          <w:tcPr>
            <w:tcW w:w="1582" w:type="dxa"/>
            <w:tcBorders>
              <w:top w:val="nil"/>
              <w:left w:val="nil"/>
              <w:bottom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 xml:space="preserve">Scarce </w:t>
            </w:r>
            <w:r>
              <w:rPr>
                <w:rFonts w:ascii="Times New Roman" w:eastAsia="Times New Roman" w:hAnsi="Times New Roman" w:cs="Times New Roman"/>
                <w:color w:val="000000"/>
                <w:sz w:val="24"/>
                <w:szCs w:val="24"/>
                <w:lang w:eastAsia="en-GB"/>
              </w:rPr>
              <w:t>a</w:t>
            </w:r>
            <w:r w:rsidRPr="00D50522">
              <w:rPr>
                <w:rFonts w:ascii="Times New Roman" w:eastAsia="Times New Roman" w:hAnsi="Times New Roman" w:cs="Times New Roman"/>
                <w:color w:val="000000"/>
                <w:sz w:val="24"/>
                <w:szCs w:val="24"/>
                <w:lang w:eastAsia="en-GB"/>
              </w:rPr>
              <w:t>ssets</w:t>
            </w:r>
          </w:p>
        </w:tc>
        <w:tc>
          <w:tcPr>
            <w:tcW w:w="1096" w:type="dxa"/>
            <w:tcBorders>
              <w:top w:val="nil"/>
              <w:left w:val="nil"/>
              <w:bottom w:val="nil"/>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6337" w:type="dxa"/>
            <w:tcBorders>
              <w:top w:val="nil"/>
              <w:left w:val="nil"/>
              <w:bottom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Owns a motorcycle, bicycle, radio, mobile phone</w:t>
            </w:r>
          </w:p>
        </w:tc>
      </w:tr>
      <w:tr w:rsidR="00CE3D18" w:rsidRPr="00D50522" w:rsidTr="002E79C5">
        <w:trPr>
          <w:trHeight w:val="292"/>
          <w:jc w:val="center"/>
        </w:trPr>
        <w:tc>
          <w:tcPr>
            <w:tcW w:w="658" w:type="dxa"/>
            <w:tcBorders>
              <w:top w:val="nil"/>
              <w:left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2</w:t>
            </w:r>
          </w:p>
        </w:tc>
        <w:tc>
          <w:tcPr>
            <w:tcW w:w="6337" w:type="dxa"/>
            <w:tcBorders>
              <w:top w:val="nil"/>
              <w:left w:val="nil"/>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Owns at least small radio, and a bicycle, mobile phone</w:t>
            </w:r>
          </w:p>
        </w:tc>
      </w:tr>
      <w:tr w:rsidR="00CE3D18" w:rsidRPr="00D50522" w:rsidTr="002E79C5">
        <w:trPr>
          <w:trHeight w:val="294"/>
          <w:jc w:val="center"/>
        </w:trPr>
        <w:tc>
          <w:tcPr>
            <w:tcW w:w="658" w:type="dxa"/>
            <w:tcBorders>
              <w:top w:val="nil"/>
              <w:left w:val="nil"/>
              <w:bottom w:val="single" w:sz="4" w:space="0" w:color="auto"/>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1582" w:type="dxa"/>
            <w:tcBorders>
              <w:top w:val="nil"/>
              <w:left w:val="nil"/>
              <w:bottom w:val="single" w:sz="4" w:space="0" w:color="auto"/>
              <w:right w:val="nil"/>
            </w:tcBorders>
            <w:shd w:val="clear" w:color="auto" w:fill="auto"/>
            <w:noWrap/>
            <w:hideMark/>
          </w:tcPr>
          <w:p w:rsidR="00CE3D18" w:rsidRPr="00D50522" w:rsidRDefault="00CE3D18" w:rsidP="00ED0545">
            <w:pPr>
              <w:spacing w:after="0" w:line="480" w:lineRule="auto"/>
              <w:contextualSpacing/>
              <w:jc w:val="both"/>
              <w:rPr>
                <w:rFonts w:ascii="Times New Roman" w:eastAsia="Times New Roman" w:hAnsi="Times New Roman" w:cs="Times New Roman"/>
                <w:sz w:val="24"/>
                <w:szCs w:val="24"/>
                <w:lang w:eastAsia="en-GB"/>
              </w:rPr>
            </w:pPr>
          </w:p>
        </w:tc>
        <w:tc>
          <w:tcPr>
            <w:tcW w:w="1096" w:type="dxa"/>
            <w:tcBorders>
              <w:top w:val="nil"/>
              <w:left w:val="nil"/>
              <w:bottom w:val="single" w:sz="4" w:space="0" w:color="auto"/>
              <w:right w:val="nil"/>
            </w:tcBorders>
            <w:shd w:val="clear" w:color="auto" w:fill="auto"/>
            <w:noWrap/>
            <w:hideMark/>
          </w:tcPr>
          <w:p w:rsidR="00CE3D18" w:rsidRPr="00D50522" w:rsidRDefault="005219F0" w:rsidP="00ED0545">
            <w:pPr>
              <w:spacing w:after="0" w:line="480"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6337" w:type="dxa"/>
            <w:tcBorders>
              <w:top w:val="nil"/>
              <w:left w:val="nil"/>
              <w:bottom w:val="single" w:sz="4" w:space="0" w:color="auto"/>
              <w:right w:val="nil"/>
            </w:tcBorders>
            <w:shd w:val="clear" w:color="auto" w:fill="auto"/>
            <w:hideMark/>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color w:val="000000"/>
                <w:sz w:val="24"/>
                <w:szCs w:val="24"/>
                <w:lang w:eastAsia="en-GB"/>
              </w:rPr>
              <w:t>Do not own any of the above</w:t>
            </w:r>
          </w:p>
        </w:tc>
      </w:tr>
      <w:tr w:rsidR="00CE3D18" w:rsidRPr="00D50522" w:rsidTr="002E79C5">
        <w:trPr>
          <w:trHeight w:val="294"/>
          <w:jc w:val="center"/>
        </w:trPr>
        <w:tc>
          <w:tcPr>
            <w:tcW w:w="658" w:type="dxa"/>
            <w:tcBorders>
              <w:top w:val="single" w:sz="4" w:space="0" w:color="auto"/>
              <w:left w:val="nil"/>
              <w:bottom w:val="nil"/>
              <w:right w:val="nil"/>
            </w:tcBorders>
            <w:shd w:val="clear" w:color="auto" w:fill="auto"/>
            <w:noWrap/>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p>
        </w:tc>
        <w:tc>
          <w:tcPr>
            <w:tcW w:w="9015" w:type="dxa"/>
            <w:gridSpan w:val="3"/>
            <w:tcBorders>
              <w:top w:val="single" w:sz="4" w:space="0" w:color="auto"/>
              <w:left w:val="nil"/>
              <w:bottom w:val="nil"/>
              <w:right w:val="nil"/>
            </w:tcBorders>
            <w:shd w:val="clear" w:color="auto" w:fill="auto"/>
            <w:noWrap/>
          </w:tcPr>
          <w:p w:rsidR="00CE3D18" w:rsidRPr="00D50522" w:rsidRDefault="00CE3D18" w:rsidP="00ED0545">
            <w:pPr>
              <w:spacing w:after="0" w:line="480" w:lineRule="auto"/>
              <w:contextualSpacing/>
              <w:jc w:val="both"/>
              <w:rPr>
                <w:rFonts w:ascii="Times New Roman" w:eastAsia="Times New Roman" w:hAnsi="Times New Roman" w:cs="Times New Roman"/>
                <w:color w:val="000000"/>
                <w:sz w:val="24"/>
                <w:szCs w:val="24"/>
                <w:lang w:eastAsia="en-GB"/>
              </w:rPr>
            </w:pPr>
            <w:r w:rsidRPr="00D50522">
              <w:rPr>
                <w:rFonts w:ascii="Times New Roman" w:eastAsia="Times New Roman" w:hAnsi="Times New Roman" w:cs="Times New Roman"/>
                <w:sz w:val="24"/>
                <w:szCs w:val="24"/>
                <w:lang w:eastAsia="en-GB"/>
              </w:rPr>
              <w:t xml:space="preserve">Table modified from </w:t>
            </w:r>
            <w:r w:rsidRPr="00D50522">
              <w:rPr>
                <w:rFonts w:ascii="Times New Roman" w:eastAsia="Times New Roman" w:hAnsi="Times New Roman" w:cs="Times New Roman"/>
                <w:sz w:val="24"/>
                <w:szCs w:val="24"/>
                <w:lang w:eastAsia="en-GB"/>
              </w:rPr>
              <w:fldChar w:fldCharType="begin" w:fldLock="1"/>
            </w:r>
            <w:r>
              <w:rPr>
                <w:rFonts w:ascii="Times New Roman" w:eastAsia="Times New Roman" w:hAnsi="Times New Roman" w:cs="Times New Roman"/>
                <w:sz w:val="24"/>
                <w:szCs w:val="24"/>
                <w:lang w:eastAsia="en-GB"/>
              </w:rPr>
              <w:instrText>ADDIN CSL_CITATION { "citationItems" : [ { "id" : "ITEM-1", "itemData" : { "abstract" : "This paper is based on participatory development research carried out in Soroti district of Uganda with the aim to assess the impact of agricultural development among poor farmers. The central argument in this study is that a combination of farmer empowerment and innovation through experiential learning in FFS groups and changes in the opportunity structure through transformation of LGA staff, establishment of sub-county farmer fora, and emergence of private service provider, has been successful in reducing rural poverty. Based on an empirical study of successful adaptation and spread of pro-poor technologies, the study assesses the well-being impact of agricultural technology development in Soroti district, Uganda. It further analyzes the socio-economic and institutional context under which pro-poor technologies are adopted by poor farmers.", "author" : [ { "dropping-particle" : "", "family" : "Friis-Hansen Esbern", "given" : "", "non-dropping-particle" : "", "parse-names" : false, "suffix" : "" } ], "container-title" : "Impact assesment workshop", "id" : "ITEM-1", "issued" : { "date-parts" : [ [ "2005" ] ] }, "publisher" : "Danish institue for international studies", "publisher-place" : "Mexico", "title" : "Agricultural development among poor farmers in Soroti district, Uganda: Impact assessment of agricultural technology, farmer empowerment and changes in opportunity structures", "type" : "paper-conference" }, "uris" : [ "http://www.mendeley.com/documents/?uuid=62ce3fda-0941-39dc-a5ba-1d1459933c44" ] } ], "mendeley" : { "formattedCitation" : "(27)", "plainTextFormattedCitation" : "(27)", "previouslyFormattedCitation" : "(27)" }, "properties" : { "noteIndex" : 0 }, "schema" : "https://github.com/citation-style-language/schema/raw/master/csl-citation.json" }</w:instrText>
            </w:r>
            <w:r w:rsidRPr="00D50522">
              <w:rPr>
                <w:rFonts w:ascii="Times New Roman" w:eastAsia="Times New Roman" w:hAnsi="Times New Roman" w:cs="Times New Roman"/>
                <w:sz w:val="24"/>
                <w:szCs w:val="24"/>
                <w:lang w:eastAsia="en-GB"/>
              </w:rPr>
              <w:fldChar w:fldCharType="separate"/>
            </w:r>
            <w:r w:rsidRPr="00A27F16">
              <w:rPr>
                <w:rFonts w:ascii="Times New Roman" w:eastAsia="Times New Roman" w:hAnsi="Times New Roman" w:cs="Times New Roman"/>
                <w:noProof/>
                <w:sz w:val="24"/>
                <w:szCs w:val="24"/>
                <w:lang w:eastAsia="en-GB"/>
              </w:rPr>
              <w:t>(27)</w:t>
            </w:r>
            <w:r w:rsidRPr="00D50522">
              <w:rPr>
                <w:rFonts w:ascii="Times New Roman" w:eastAsia="Times New Roman" w:hAnsi="Times New Roman" w:cs="Times New Roman"/>
                <w:sz w:val="24"/>
                <w:szCs w:val="24"/>
                <w:lang w:eastAsia="en-GB"/>
              </w:rPr>
              <w:fldChar w:fldCharType="end"/>
            </w:r>
            <w:r w:rsidRPr="00D50522">
              <w:rPr>
                <w:rFonts w:ascii="Times New Roman" w:eastAsia="Times New Roman" w:hAnsi="Times New Roman" w:cs="Times New Roman"/>
                <w:sz w:val="24"/>
                <w:szCs w:val="24"/>
                <w:lang w:eastAsia="en-GB"/>
              </w:rPr>
              <w:t xml:space="preserve"> </w:t>
            </w:r>
          </w:p>
        </w:tc>
      </w:tr>
    </w:tbl>
    <w:p w:rsidR="00087585" w:rsidRDefault="00087585"/>
    <w:sectPr w:rsidR="000875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18"/>
    <w:rsid w:val="00087585"/>
    <w:rsid w:val="002E79C5"/>
    <w:rsid w:val="002F7FC9"/>
    <w:rsid w:val="003C39D4"/>
    <w:rsid w:val="005219F0"/>
    <w:rsid w:val="00CE3D18"/>
    <w:rsid w:val="00F8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F62B"/>
  <w15:chartTrackingRefBased/>
  <w15:docId w15:val="{14ABE3B3-71FE-435B-8E11-5FAEEBC0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3D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Amulen</dc:creator>
  <cp:keywords/>
  <dc:description/>
  <cp:lastModifiedBy>Deborah Amulen</cp:lastModifiedBy>
  <cp:revision>2</cp:revision>
  <dcterms:created xsi:type="dcterms:W3CDTF">2017-01-19T06:58:00Z</dcterms:created>
  <dcterms:modified xsi:type="dcterms:W3CDTF">2017-01-19T06:58:00Z</dcterms:modified>
</cp:coreProperties>
</file>