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D7FD" w14:textId="77777777" w:rsidR="00662AAF" w:rsidRPr="00662AAF" w:rsidRDefault="00662AAF" w:rsidP="00662AAF">
      <w:pPr>
        <w:spacing w:line="480" w:lineRule="auto"/>
        <w:jc w:val="both"/>
        <w:rPr>
          <w:b/>
          <w:lang w:val="en-US"/>
        </w:rPr>
      </w:pPr>
      <w:bookmarkStart w:id="0" w:name="_GoBack"/>
      <w:r w:rsidRPr="00662AAF">
        <w:rPr>
          <w:b/>
          <w:lang w:val="en-US"/>
        </w:rPr>
        <w:t xml:space="preserve">Table S2. Parameter values for the economic and non-economic sectors for EU and regional weights from PAGE2002. </w:t>
      </w:r>
    </w:p>
    <w:bookmarkEnd w:id="0"/>
    <w:tbl>
      <w:tblPr>
        <w:tblW w:w="8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883"/>
        <w:gridCol w:w="737"/>
        <w:gridCol w:w="896"/>
        <w:gridCol w:w="776"/>
      </w:tblGrid>
      <w:tr w:rsidR="00662AAF" w14:paraId="67ADF941" w14:textId="77777777" w:rsidTr="00594FF5">
        <w:tc>
          <w:tcPr>
            <w:tcW w:w="4711" w:type="dxa"/>
          </w:tcPr>
          <w:p w14:paraId="2B48C653" w14:textId="77777777" w:rsidR="00662AAF" w:rsidRPr="00CE7FDC" w:rsidRDefault="00662AAF" w:rsidP="00594FF5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883" w:type="dxa"/>
          </w:tcPr>
          <w:p w14:paraId="21ED2796" w14:textId="77777777" w:rsidR="00662AAF" w:rsidRPr="00CE7FDC" w:rsidRDefault="00662AAF" w:rsidP="00594FF5">
            <w:pPr>
              <w:spacing w:line="480" w:lineRule="auto"/>
              <w:jc w:val="both"/>
              <w:rPr>
                <w:lang w:val="en-US"/>
              </w:rPr>
            </w:pPr>
            <w:r w:rsidRPr="00CE7FDC">
              <w:rPr>
                <w:lang w:val="en-US"/>
              </w:rPr>
              <w:t>Mean</w:t>
            </w:r>
          </w:p>
        </w:tc>
        <w:tc>
          <w:tcPr>
            <w:tcW w:w="737" w:type="dxa"/>
          </w:tcPr>
          <w:p w14:paraId="22145945" w14:textId="77777777" w:rsidR="00662AAF" w:rsidRPr="00CE7FDC" w:rsidRDefault="00662AAF" w:rsidP="00594FF5">
            <w:pPr>
              <w:spacing w:line="480" w:lineRule="auto"/>
              <w:jc w:val="both"/>
              <w:rPr>
                <w:lang w:val="en-US"/>
              </w:rPr>
            </w:pPr>
            <w:r w:rsidRPr="00CE7FDC">
              <w:rPr>
                <w:lang w:val="en-US"/>
              </w:rPr>
              <w:t>Min</w:t>
            </w:r>
          </w:p>
        </w:tc>
        <w:tc>
          <w:tcPr>
            <w:tcW w:w="896" w:type="dxa"/>
          </w:tcPr>
          <w:p w14:paraId="01B17341" w14:textId="77777777" w:rsidR="00662AAF" w:rsidRPr="00CE7FDC" w:rsidRDefault="00662AAF" w:rsidP="00594FF5">
            <w:pPr>
              <w:spacing w:line="480" w:lineRule="auto"/>
              <w:jc w:val="both"/>
              <w:rPr>
                <w:lang w:val="en-US"/>
              </w:rPr>
            </w:pPr>
            <w:r w:rsidRPr="00CE7FDC">
              <w:rPr>
                <w:lang w:val="en-US"/>
              </w:rPr>
              <w:t>Mode</w:t>
            </w:r>
          </w:p>
        </w:tc>
        <w:tc>
          <w:tcPr>
            <w:tcW w:w="776" w:type="dxa"/>
          </w:tcPr>
          <w:p w14:paraId="0F9F2729" w14:textId="77777777" w:rsidR="00662AAF" w:rsidRPr="00CE7FDC" w:rsidRDefault="00662AAF" w:rsidP="00594FF5">
            <w:pPr>
              <w:spacing w:line="480" w:lineRule="auto"/>
              <w:jc w:val="both"/>
              <w:rPr>
                <w:lang w:val="en-US"/>
              </w:rPr>
            </w:pPr>
            <w:r w:rsidRPr="00CE7FDC">
              <w:rPr>
                <w:lang w:val="en-US"/>
              </w:rPr>
              <w:t>Max</w:t>
            </w:r>
          </w:p>
        </w:tc>
      </w:tr>
      <w:tr w:rsidR="00662AAF" w14:paraId="0D9A73F4" w14:textId="77777777" w:rsidTr="00594FF5">
        <w:tc>
          <w:tcPr>
            <w:tcW w:w="4711" w:type="dxa"/>
          </w:tcPr>
          <w:p w14:paraId="18402DA6" w14:textId="77777777" w:rsidR="00662AAF" w:rsidRPr="00CE7FDC" w:rsidRDefault="00662AAF" w:rsidP="00594FF5">
            <w:pPr>
              <w:spacing w:line="480" w:lineRule="auto"/>
              <w:rPr>
                <w:lang w:val="en-US"/>
              </w:rPr>
            </w:pPr>
            <w:r w:rsidRPr="00CE7FDC">
              <w:rPr>
                <w:lang w:val="en-US"/>
              </w:rPr>
              <w:t>Economic impact in EU (%GDP for 2.5°C)</w:t>
            </w:r>
          </w:p>
        </w:tc>
        <w:tc>
          <w:tcPr>
            <w:tcW w:w="883" w:type="dxa"/>
          </w:tcPr>
          <w:p w14:paraId="7123F685" w14:textId="77777777" w:rsidR="00662AAF" w:rsidRPr="00FF426B" w:rsidRDefault="00662AAF" w:rsidP="00594FF5">
            <w:pPr>
              <w:spacing w:line="480" w:lineRule="auto"/>
            </w:pPr>
            <w:r w:rsidRPr="00FF426B">
              <w:t>0.5</w:t>
            </w:r>
          </w:p>
        </w:tc>
        <w:tc>
          <w:tcPr>
            <w:tcW w:w="737" w:type="dxa"/>
          </w:tcPr>
          <w:p w14:paraId="0BB53585" w14:textId="77777777" w:rsidR="00662AAF" w:rsidRPr="00FF426B" w:rsidRDefault="00662AAF" w:rsidP="00594FF5">
            <w:pPr>
              <w:spacing w:line="480" w:lineRule="auto"/>
            </w:pPr>
            <w:r w:rsidRPr="00FF426B">
              <w:t>-0.1</w:t>
            </w:r>
          </w:p>
        </w:tc>
        <w:tc>
          <w:tcPr>
            <w:tcW w:w="896" w:type="dxa"/>
          </w:tcPr>
          <w:p w14:paraId="41D2E3B1" w14:textId="77777777" w:rsidR="00662AAF" w:rsidRPr="00FF426B" w:rsidRDefault="00662AAF" w:rsidP="00594FF5">
            <w:pPr>
              <w:spacing w:line="480" w:lineRule="auto"/>
            </w:pPr>
            <w:r w:rsidRPr="00FF426B">
              <w:t>0.6</w:t>
            </w:r>
          </w:p>
        </w:tc>
        <w:tc>
          <w:tcPr>
            <w:tcW w:w="776" w:type="dxa"/>
          </w:tcPr>
          <w:p w14:paraId="5275D5DD" w14:textId="77777777" w:rsidR="00662AAF" w:rsidRPr="00FF426B" w:rsidRDefault="00662AAF" w:rsidP="00594FF5">
            <w:pPr>
              <w:spacing w:line="480" w:lineRule="auto"/>
            </w:pPr>
            <w:r w:rsidRPr="00FF426B">
              <w:t>1</w:t>
            </w:r>
          </w:p>
        </w:tc>
      </w:tr>
      <w:tr w:rsidR="00662AAF" w14:paraId="5840C3DE" w14:textId="77777777" w:rsidTr="00594FF5">
        <w:tc>
          <w:tcPr>
            <w:tcW w:w="4711" w:type="dxa"/>
          </w:tcPr>
          <w:p w14:paraId="795F03FF" w14:textId="77777777" w:rsidR="00662AAF" w:rsidRPr="00CE7FDC" w:rsidRDefault="00662AAF" w:rsidP="00594FF5">
            <w:pPr>
              <w:spacing w:line="480" w:lineRule="auto"/>
              <w:rPr>
                <w:lang w:val="en-US"/>
              </w:rPr>
            </w:pPr>
            <w:r w:rsidRPr="00CE7FDC">
              <w:rPr>
                <w:lang w:val="en-US"/>
              </w:rPr>
              <w:t>Non-economic impact EU (%GDP for 2.5°C)</w:t>
            </w:r>
          </w:p>
        </w:tc>
        <w:tc>
          <w:tcPr>
            <w:tcW w:w="883" w:type="dxa"/>
          </w:tcPr>
          <w:p w14:paraId="4D293BDB" w14:textId="77777777" w:rsidR="00662AAF" w:rsidRPr="00FF426B" w:rsidRDefault="00662AAF" w:rsidP="00594FF5">
            <w:pPr>
              <w:spacing w:line="480" w:lineRule="auto"/>
            </w:pPr>
            <w:r w:rsidRPr="00FF426B">
              <w:t>0.73</w:t>
            </w:r>
          </w:p>
        </w:tc>
        <w:tc>
          <w:tcPr>
            <w:tcW w:w="737" w:type="dxa"/>
          </w:tcPr>
          <w:p w14:paraId="41EA21E4" w14:textId="77777777" w:rsidR="00662AAF" w:rsidRPr="00FF426B" w:rsidRDefault="00662AAF" w:rsidP="00594FF5">
            <w:pPr>
              <w:spacing w:line="480" w:lineRule="auto"/>
            </w:pPr>
            <w:r w:rsidRPr="00FF426B">
              <w:t>0</w:t>
            </w:r>
          </w:p>
        </w:tc>
        <w:tc>
          <w:tcPr>
            <w:tcW w:w="896" w:type="dxa"/>
          </w:tcPr>
          <w:p w14:paraId="4E22FFCB" w14:textId="77777777" w:rsidR="00662AAF" w:rsidRPr="00FF426B" w:rsidRDefault="00662AAF" w:rsidP="00594FF5">
            <w:pPr>
              <w:spacing w:line="480" w:lineRule="auto"/>
            </w:pPr>
            <w:r w:rsidRPr="00FF426B">
              <w:t>0.7</w:t>
            </w:r>
          </w:p>
        </w:tc>
        <w:tc>
          <w:tcPr>
            <w:tcW w:w="776" w:type="dxa"/>
          </w:tcPr>
          <w:p w14:paraId="2FBBF207" w14:textId="77777777" w:rsidR="00662AAF" w:rsidRPr="00FF426B" w:rsidRDefault="00662AAF" w:rsidP="00594FF5">
            <w:pPr>
              <w:spacing w:line="480" w:lineRule="auto"/>
            </w:pPr>
            <w:r w:rsidRPr="00FF426B">
              <w:t>1.5</w:t>
            </w:r>
          </w:p>
        </w:tc>
      </w:tr>
      <w:tr w:rsidR="00662AAF" w14:paraId="721E11E9" w14:textId="77777777" w:rsidTr="00594FF5">
        <w:tc>
          <w:tcPr>
            <w:tcW w:w="4711" w:type="dxa"/>
          </w:tcPr>
          <w:p w14:paraId="47A706DF" w14:textId="77777777" w:rsidR="00662AAF" w:rsidRPr="0053606E" w:rsidRDefault="00662AAF" w:rsidP="00594FF5">
            <w:pPr>
              <w:spacing w:line="480" w:lineRule="auto"/>
            </w:pPr>
            <w:proofErr w:type="spellStart"/>
            <w:r w:rsidRPr="0053606E">
              <w:t>Impact</w:t>
            </w:r>
            <w:proofErr w:type="spellEnd"/>
            <w:r w:rsidRPr="0053606E">
              <w:t xml:space="preserve"> </w:t>
            </w:r>
            <w:proofErr w:type="spellStart"/>
            <w:r w:rsidRPr="0053606E">
              <w:t>function</w:t>
            </w:r>
            <w:proofErr w:type="spellEnd"/>
            <w:r w:rsidRPr="0053606E">
              <w:t xml:space="preserve"> </w:t>
            </w:r>
            <w:proofErr w:type="spellStart"/>
            <w:r w:rsidRPr="0053606E">
              <w:t>exponent</w:t>
            </w:r>
            <w:proofErr w:type="spellEnd"/>
          </w:p>
        </w:tc>
        <w:tc>
          <w:tcPr>
            <w:tcW w:w="883" w:type="dxa"/>
          </w:tcPr>
          <w:p w14:paraId="6DBF7013" w14:textId="77777777" w:rsidR="00662AAF" w:rsidRPr="00FF426B" w:rsidRDefault="00662AAF" w:rsidP="00594FF5">
            <w:pPr>
              <w:spacing w:line="480" w:lineRule="auto"/>
            </w:pPr>
            <w:r w:rsidRPr="00FF426B">
              <w:t>1.76</w:t>
            </w:r>
          </w:p>
        </w:tc>
        <w:tc>
          <w:tcPr>
            <w:tcW w:w="737" w:type="dxa"/>
          </w:tcPr>
          <w:p w14:paraId="643B8BA6" w14:textId="77777777" w:rsidR="00662AAF" w:rsidRPr="00FF426B" w:rsidRDefault="00662AAF" w:rsidP="00594FF5">
            <w:pPr>
              <w:spacing w:line="480" w:lineRule="auto"/>
            </w:pPr>
            <w:r w:rsidRPr="00FF426B">
              <w:t>1</w:t>
            </w:r>
          </w:p>
        </w:tc>
        <w:tc>
          <w:tcPr>
            <w:tcW w:w="896" w:type="dxa"/>
          </w:tcPr>
          <w:p w14:paraId="5B695E28" w14:textId="77777777" w:rsidR="00662AAF" w:rsidRPr="00FF426B" w:rsidRDefault="00662AAF" w:rsidP="00594FF5">
            <w:pPr>
              <w:spacing w:line="480" w:lineRule="auto"/>
            </w:pPr>
            <w:r w:rsidRPr="00FF426B">
              <w:t>1.3</w:t>
            </w:r>
          </w:p>
        </w:tc>
        <w:tc>
          <w:tcPr>
            <w:tcW w:w="776" w:type="dxa"/>
          </w:tcPr>
          <w:p w14:paraId="744E1239" w14:textId="77777777" w:rsidR="00662AAF" w:rsidRPr="00FF426B" w:rsidRDefault="00662AAF" w:rsidP="00594FF5">
            <w:pPr>
              <w:spacing w:line="480" w:lineRule="auto"/>
            </w:pPr>
            <w:r w:rsidRPr="00FF426B">
              <w:t>3</w:t>
            </w:r>
          </w:p>
        </w:tc>
      </w:tr>
      <w:tr w:rsidR="00662AAF" w14:paraId="5E967718" w14:textId="77777777" w:rsidTr="00594FF5">
        <w:tc>
          <w:tcPr>
            <w:tcW w:w="4711" w:type="dxa"/>
          </w:tcPr>
          <w:p w14:paraId="06A20591" w14:textId="77777777" w:rsidR="00662AAF" w:rsidRPr="00CE7FDC" w:rsidRDefault="00662AAF" w:rsidP="00594FF5">
            <w:pPr>
              <w:spacing w:line="480" w:lineRule="auto"/>
              <w:rPr>
                <w:lang w:val="en-US"/>
              </w:rPr>
            </w:pPr>
            <w:r w:rsidRPr="00CE7FDC">
              <w:rPr>
                <w:lang w:val="en-US"/>
              </w:rPr>
              <w:t>Eastern Europe &amp; FSU weights factor</w:t>
            </w:r>
          </w:p>
        </w:tc>
        <w:tc>
          <w:tcPr>
            <w:tcW w:w="883" w:type="dxa"/>
          </w:tcPr>
          <w:p w14:paraId="10BC5123" w14:textId="77777777" w:rsidR="00662AAF" w:rsidRPr="00FF426B" w:rsidRDefault="00662AAF" w:rsidP="00594FF5">
            <w:pPr>
              <w:spacing w:line="480" w:lineRule="auto"/>
            </w:pPr>
            <w:r w:rsidRPr="00FF426B">
              <w:t>-0.35</w:t>
            </w:r>
          </w:p>
        </w:tc>
        <w:tc>
          <w:tcPr>
            <w:tcW w:w="737" w:type="dxa"/>
          </w:tcPr>
          <w:p w14:paraId="23816DCE" w14:textId="77777777" w:rsidR="00662AAF" w:rsidRPr="00FF426B" w:rsidRDefault="00662AAF" w:rsidP="00594FF5">
            <w:pPr>
              <w:spacing w:line="480" w:lineRule="auto"/>
            </w:pPr>
            <w:r w:rsidRPr="00FF426B">
              <w:t>-1</w:t>
            </w:r>
          </w:p>
        </w:tc>
        <w:tc>
          <w:tcPr>
            <w:tcW w:w="896" w:type="dxa"/>
          </w:tcPr>
          <w:p w14:paraId="375E3341" w14:textId="77777777" w:rsidR="00662AAF" w:rsidRPr="00FF426B" w:rsidRDefault="00662AAF" w:rsidP="00594FF5">
            <w:pPr>
              <w:spacing w:line="480" w:lineRule="auto"/>
            </w:pPr>
            <w:r w:rsidRPr="00FF426B">
              <w:t>-0.25</w:t>
            </w:r>
          </w:p>
        </w:tc>
        <w:tc>
          <w:tcPr>
            <w:tcW w:w="776" w:type="dxa"/>
          </w:tcPr>
          <w:p w14:paraId="33E12007" w14:textId="77777777" w:rsidR="00662AAF" w:rsidRPr="00FF426B" w:rsidRDefault="00662AAF" w:rsidP="00594FF5">
            <w:pPr>
              <w:spacing w:line="480" w:lineRule="auto"/>
            </w:pPr>
            <w:r w:rsidRPr="00FF426B">
              <w:t>0.2</w:t>
            </w:r>
          </w:p>
        </w:tc>
      </w:tr>
      <w:tr w:rsidR="00662AAF" w14:paraId="0A16BF50" w14:textId="77777777" w:rsidTr="00594FF5">
        <w:tc>
          <w:tcPr>
            <w:tcW w:w="4711" w:type="dxa"/>
          </w:tcPr>
          <w:p w14:paraId="4D63C9A8" w14:textId="77777777" w:rsidR="00662AAF" w:rsidRPr="0053606E" w:rsidRDefault="00662AAF" w:rsidP="00594FF5">
            <w:pPr>
              <w:spacing w:line="480" w:lineRule="auto"/>
            </w:pPr>
            <w:r w:rsidRPr="0053606E">
              <w:t xml:space="preserve">USA </w:t>
            </w:r>
            <w:proofErr w:type="spellStart"/>
            <w:r w:rsidRPr="0053606E">
              <w:t>weights</w:t>
            </w:r>
            <w:proofErr w:type="spellEnd"/>
            <w:r w:rsidRPr="0053606E">
              <w:t xml:space="preserve"> factor</w:t>
            </w:r>
          </w:p>
        </w:tc>
        <w:tc>
          <w:tcPr>
            <w:tcW w:w="883" w:type="dxa"/>
          </w:tcPr>
          <w:p w14:paraId="083C0821" w14:textId="77777777" w:rsidR="00662AAF" w:rsidRPr="00FF426B" w:rsidRDefault="00662AAF" w:rsidP="00594FF5">
            <w:pPr>
              <w:spacing w:line="480" w:lineRule="auto"/>
            </w:pPr>
            <w:r w:rsidRPr="00FF426B">
              <w:t>0.25</w:t>
            </w:r>
          </w:p>
        </w:tc>
        <w:tc>
          <w:tcPr>
            <w:tcW w:w="737" w:type="dxa"/>
          </w:tcPr>
          <w:p w14:paraId="02108227" w14:textId="77777777" w:rsidR="00662AAF" w:rsidRPr="00FF426B" w:rsidRDefault="00662AAF" w:rsidP="00594FF5">
            <w:pPr>
              <w:spacing w:line="480" w:lineRule="auto"/>
            </w:pPr>
            <w:r w:rsidRPr="00FF426B">
              <w:t>0</w:t>
            </w:r>
          </w:p>
        </w:tc>
        <w:tc>
          <w:tcPr>
            <w:tcW w:w="896" w:type="dxa"/>
          </w:tcPr>
          <w:p w14:paraId="4E5DD36E" w14:textId="77777777" w:rsidR="00662AAF" w:rsidRPr="00FF426B" w:rsidRDefault="00662AAF" w:rsidP="00594FF5">
            <w:pPr>
              <w:spacing w:line="480" w:lineRule="auto"/>
            </w:pPr>
            <w:r w:rsidRPr="00FF426B">
              <w:t>0.25</w:t>
            </w:r>
          </w:p>
        </w:tc>
        <w:tc>
          <w:tcPr>
            <w:tcW w:w="776" w:type="dxa"/>
          </w:tcPr>
          <w:p w14:paraId="008504D3" w14:textId="77777777" w:rsidR="00662AAF" w:rsidRPr="00FF426B" w:rsidRDefault="00662AAF" w:rsidP="00594FF5">
            <w:pPr>
              <w:spacing w:line="480" w:lineRule="auto"/>
            </w:pPr>
            <w:r w:rsidRPr="00FF426B">
              <w:t>0.5</w:t>
            </w:r>
          </w:p>
        </w:tc>
      </w:tr>
      <w:tr w:rsidR="00662AAF" w14:paraId="54605280" w14:textId="77777777" w:rsidTr="00594FF5">
        <w:tc>
          <w:tcPr>
            <w:tcW w:w="4711" w:type="dxa"/>
          </w:tcPr>
          <w:p w14:paraId="25B61D6F" w14:textId="77777777" w:rsidR="00662AAF" w:rsidRPr="0053606E" w:rsidRDefault="00662AAF" w:rsidP="00594FF5">
            <w:pPr>
              <w:spacing w:line="480" w:lineRule="auto"/>
            </w:pPr>
            <w:r w:rsidRPr="0053606E">
              <w:t xml:space="preserve">China </w:t>
            </w:r>
            <w:proofErr w:type="spellStart"/>
            <w:r w:rsidRPr="0053606E">
              <w:t>weights</w:t>
            </w:r>
            <w:proofErr w:type="spellEnd"/>
            <w:r w:rsidRPr="0053606E">
              <w:t xml:space="preserve"> factor</w:t>
            </w:r>
          </w:p>
        </w:tc>
        <w:tc>
          <w:tcPr>
            <w:tcW w:w="883" w:type="dxa"/>
          </w:tcPr>
          <w:p w14:paraId="5693E13C" w14:textId="77777777" w:rsidR="00662AAF" w:rsidRPr="00FF426B" w:rsidRDefault="00662AAF" w:rsidP="00594FF5">
            <w:pPr>
              <w:spacing w:line="480" w:lineRule="auto"/>
            </w:pPr>
            <w:r w:rsidRPr="00FF426B">
              <w:t>0.2</w:t>
            </w:r>
          </w:p>
        </w:tc>
        <w:tc>
          <w:tcPr>
            <w:tcW w:w="737" w:type="dxa"/>
          </w:tcPr>
          <w:p w14:paraId="02349BF2" w14:textId="77777777" w:rsidR="00662AAF" w:rsidRPr="00FF426B" w:rsidRDefault="00662AAF" w:rsidP="00594FF5">
            <w:pPr>
              <w:spacing w:line="480" w:lineRule="auto"/>
            </w:pPr>
            <w:r w:rsidRPr="00FF426B">
              <w:t>0</w:t>
            </w:r>
          </w:p>
        </w:tc>
        <w:tc>
          <w:tcPr>
            <w:tcW w:w="896" w:type="dxa"/>
          </w:tcPr>
          <w:p w14:paraId="374F4651" w14:textId="77777777" w:rsidR="00662AAF" w:rsidRPr="00FF426B" w:rsidRDefault="00662AAF" w:rsidP="00594FF5">
            <w:pPr>
              <w:spacing w:line="480" w:lineRule="auto"/>
            </w:pPr>
            <w:r w:rsidRPr="00FF426B">
              <w:t>0.1</w:t>
            </w:r>
          </w:p>
        </w:tc>
        <w:tc>
          <w:tcPr>
            <w:tcW w:w="776" w:type="dxa"/>
          </w:tcPr>
          <w:p w14:paraId="77495C21" w14:textId="77777777" w:rsidR="00662AAF" w:rsidRPr="00FF426B" w:rsidRDefault="00662AAF" w:rsidP="00594FF5">
            <w:pPr>
              <w:spacing w:line="480" w:lineRule="auto"/>
            </w:pPr>
            <w:r w:rsidRPr="00FF426B">
              <w:t>0.5</w:t>
            </w:r>
          </w:p>
        </w:tc>
      </w:tr>
      <w:tr w:rsidR="00662AAF" w14:paraId="78FA35D7" w14:textId="77777777" w:rsidTr="00594FF5">
        <w:tc>
          <w:tcPr>
            <w:tcW w:w="4711" w:type="dxa"/>
          </w:tcPr>
          <w:p w14:paraId="0E49E3BA" w14:textId="77777777" w:rsidR="00662AAF" w:rsidRPr="0053606E" w:rsidRDefault="00662AAF" w:rsidP="00594FF5">
            <w:pPr>
              <w:spacing w:line="480" w:lineRule="auto"/>
            </w:pPr>
            <w:r w:rsidRPr="0053606E">
              <w:t xml:space="preserve">India </w:t>
            </w:r>
            <w:proofErr w:type="spellStart"/>
            <w:r w:rsidRPr="0053606E">
              <w:t>weights</w:t>
            </w:r>
            <w:proofErr w:type="spellEnd"/>
            <w:r w:rsidRPr="0053606E">
              <w:t xml:space="preserve"> factor</w:t>
            </w:r>
          </w:p>
        </w:tc>
        <w:tc>
          <w:tcPr>
            <w:tcW w:w="883" w:type="dxa"/>
          </w:tcPr>
          <w:p w14:paraId="43B20746" w14:textId="77777777" w:rsidR="00662AAF" w:rsidRPr="00FF426B" w:rsidRDefault="00662AAF" w:rsidP="00594FF5">
            <w:pPr>
              <w:spacing w:line="480" w:lineRule="auto"/>
            </w:pPr>
            <w:r w:rsidRPr="00FF426B">
              <w:t>2.5</w:t>
            </w:r>
          </w:p>
        </w:tc>
        <w:tc>
          <w:tcPr>
            <w:tcW w:w="737" w:type="dxa"/>
          </w:tcPr>
          <w:p w14:paraId="1FCDE4D2" w14:textId="77777777" w:rsidR="00662AAF" w:rsidRPr="00FF426B" w:rsidRDefault="00662AAF" w:rsidP="00594FF5">
            <w:pPr>
              <w:spacing w:line="480" w:lineRule="auto"/>
            </w:pPr>
            <w:r w:rsidRPr="00FF426B">
              <w:t>1.5</w:t>
            </w:r>
          </w:p>
        </w:tc>
        <w:tc>
          <w:tcPr>
            <w:tcW w:w="896" w:type="dxa"/>
          </w:tcPr>
          <w:p w14:paraId="38CFFE58" w14:textId="77777777" w:rsidR="00662AAF" w:rsidRPr="00FF426B" w:rsidRDefault="00662AAF" w:rsidP="00594FF5">
            <w:pPr>
              <w:spacing w:line="480" w:lineRule="auto"/>
            </w:pPr>
            <w:r w:rsidRPr="00FF426B">
              <w:t>2</w:t>
            </w:r>
          </w:p>
        </w:tc>
        <w:tc>
          <w:tcPr>
            <w:tcW w:w="776" w:type="dxa"/>
          </w:tcPr>
          <w:p w14:paraId="1E5D3656" w14:textId="77777777" w:rsidR="00662AAF" w:rsidRPr="00FF426B" w:rsidRDefault="00662AAF" w:rsidP="00594FF5">
            <w:pPr>
              <w:spacing w:line="480" w:lineRule="auto"/>
            </w:pPr>
            <w:r w:rsidRPr="00FF426B">
              <w:t>4</w:t>
            </w:r>
          </w:p>
        </w:tc>
      </w:tr>
      <w:tr w:rsidR="00662AAF" w14:paraId="078AA7C6" w14:textId="77777777" w:rsidTr="00594FF5">
        <w:tc>
          <w:tcPr>
            <w:tcW w:w="4711" w:type="dxa"/>
          </w:tcPr>
          <w:p w14:paraId="31F06694" w14:textId="77777777" w:rsidR="00662AAF" w:rsidRPr="0053606E" w:rsidRDefault="00662AAF" w:rsidP="00594FF5">
            <w:pPr>
              <w:spacing w:line="480" w:lineRule="auto"/>
            </w:pPr>
            <w:proofErr w:type="spellStart"/>
            <w:r w:rsidRPr="0053606E">
              <w:t>Africa</w:t>
            </w:r>
            <w:proofErr w:type="spellEnd"/>
            <w:r w:rsidRPr="0053606E">
              <w:t xml:space="preserve"> </w:t>
            </w:r>
            <w:proofErr w:type="spellStart"/>
            <w:r w:rsidRPr="0053606E">
              <w:t>weights</w:t>
            </w:r>
            <w:proofErr w:type="spellEnd"/>
            <w:r w:rsidRPr="0053606E">
              <w:t xml:space="preserve"> factor</w:t>
            </w:r>
          </w:p>
        </w:tc>
        <w:tc>
          <w:tcPr>
            <w:tcW w:w="883" w:type="dxa"/>
          </w:tcPr>
          <w:p w14:paraId="6E9BFDC6" w14:textId="77777777" w:rsidR="00662AAF" w:rsidRPr="00FF426B" w:rsidRDefault="00662AAF" w:rsidP="00594FF5">
            <w:pPr>
              <w:spacing w:line="480" w:lineRule="auto"/>
            </w:pPr>
            <w:r w:rsidRPr="00FF426B">
              <w:t>1.83</w:t>
            </w:r>
          </w:p>
        </w:tc>
        <w:tc>
          <w:tcPr>
            <w:tcW w:w="737" w:type="dxa"/>
          </w:tcPr>
          <w:p w14:paraId="7163961A" w14:textId="77777777" w:rsidR="00662AAF" w:rsidRPr="00FF426B" w:rsidRDefault="00662AAF" w:rsidP="00594FF5">
            <w:pPr>
              <w:spacing w:line="480" w:lineRule="auto"/>
            </w:pPr>
            <w:r w:rsidRPr="00FF426B">
              <w:t>1</w:t>
            </w:r>
          </w:p>
        </w:tc>
        <w:tc>
          <w:tcPr>
            <w:tcW w:w="896" w:type="dxa"/>
          </w:tcPr>
          <w:p w14:paraId="14826958" w14:textId="77777777" w:rsidR="00662AAF" w:rsidRPr="00FF426B" w:rsidRDefault="00662AAF" w:rsidP="00594FF5">
            <w:pPr>
              <w:spacing w:line="480" w:lineRule="auto"/>
            </w:pPr>
            <w:r w:rsidRPr="00FF426B">
              <w:t>1.5</w:t>
            </w:r>
          </w:p>
        </w:tc>
        <w:tc>
          <w:tcPr>
            <w:tcW w:w="776" w:type="dxa"/>
          </w:tcPr>
          <w:p w14:paraId="6A101F38" w14:textId="77777777" w:rsidR="00662AAF" w:rsidRPr="00FF426B" w:rsidRDefault="00662AAF" w:rsidP="00594FF5">
            <w:pPr>
              <w:spacing w:line="480" w:lineRule="auto"/>
            </w:pPr>
            <w:r w:rsidRPr="00FF426B">
              <w:t>3</w:t>
            </w:r>
          </w:p>
        </w:tc>
      </w:tr>
      <w:tr w:rsidR="00662AAF" w14:paraId="1D7970FF" w14:textId="77777777" w:rsidTr="00594FF5">
        <w:tc>
          <w:tcPr>
            <w:tcW w:w="4711" w:type="dxa"/>
          </w:tcPr>
          <w:p w14:paraId="6D531724" w14:textId="77777777" w:rsidR="00662AAF" w:rsidRPr="0053606E" w:rsidRDefault="00662AAF" w:rsidP="00594FF5">
            <w:pPr>
              <w:spacing w:line="480" w:lineRule="auto"/>
            </w:pPr>
            <w:proofErr w:type="spellStart"/>
            <w:r w:rsidRPr="0053606E">
              <w:t>Latin</w:t>
            </w:r>
            <w:proofErr w:type="spellEnd"/>
            <w:r w:rsidRPr="0053606E">
              <w:t xml:space="preserve"> </w:t>
            </w:r>
            <w:proofErr w:type="spellStart"/>
            <w:r w:rsidRPr="0053606E">
              <w:t>America</w:t>
            </w:r>
            <w:proofErr w:type="spellEnd"/>
            <w:r w:rsidRPr="0053606E">
              <w:t xml:space="preserve"> </w:t>
            </w:r>
            <w:proofErr w:type="spellStart"/>
            <w:r w:rsidRPr="0053606E">
              <w:t>weights</w:t>
            </w:r>
            <w:proofErr w:type="spellEnd"/>
            <w:r w:rsidRPr="0053606E">
              <w:t xml:space="preserve"> factor</w:t>
            </w:r>
          </w:p>
        </w:tc>
        <w:tc>
          <w:tcPr>
            <w:tcW w:w="883" w:type="dxa"/>
          </w:tcPr>
          <w:p w14:paraId="27ABB378" w14:textId="77777777" w:rsidR="00662AAF" w:rsidRPr="00FF426B" w:rsidRDefault="00662AAF" w:rsidP="00594FF5">
            <w:pPr>
              <w:spacing w:line="480" w:lineRule="auto"/>
            </w:pPr>
            <w:r w:rsidRPr="00FF426B">
              <w:t>1.83</w:t>
            </w:r>
          </w:p>
        </w:tc>
        <w:tc>
          <w:tcPr>
            <w:tcW w:w="737" w:type="dxa"/>
          </w:tcPr>
          <w:p w14:paraId="0110D1F2" w14:textId="77777777" w:rsidR="00662AAF" w:rsidRPr="00FF426B" w:rsidRDefault="00662AAF" w:rsidP="00594FF5">
            <w:pPr>
              <w:spacing w:line="480" w:lineRule="auto"/>
            </w:pPr>
            <w:r w:rsidRPr="00FF426B">
              <w:t>1</w:t>
            </w:r>
          </w:p>
        </w:tc>
        <w:tc>
          <w:tcPr>
            <w:tcW w:w="896" w:type="dxa"/>
          </w:tcPr>
          <w:p w14:paraId="7D52F219" w14:textId="77777777" w:rsidR="00662AAF" w:rsidRPr="00FF426B" w:rsidRDefault="00662AAF" w:rsidP="00594FF5">
            <w:pPr>
              <w:spacing w:line="480" w:lineRule="auto"/>
            </w:pPr>
            <w:r w:rsidRPr="00FF426B">
              <w:t>1.5</w:t>
            </w:r>
          </w:p>
        </w:tc>
        <w:tc>
          <w:tcPr>
            <w:tcW w:w="776" w:type="dxa"/>
          </w:tcPr>
          <w:p w14:paraId="721EAA55" w14:textId="77777777" w:rsidR="00662AAF" w:rsidRPr="00FF426B" w:rsidRDefault="00662AAF" w:rsidP="00594FF5">
            <w:pPr>
              <w:spacing w:line="480" w:lineRule="auto"/>
            </w:pPr>
            <w:r w:rsidRPr="00FF426B">
              <w:t>3</w:t>
            </w:r>
          </w:p>
        </w:tc>
      </w:tr>
      <w:tr w:rsidR="00662AAF" w14:paraId="594A110E" w14:textId="77777777" w:rsidTr="00594FF5">
        <w:tc>
          <w:tcPr>
            <w:tcW w:w="4711" w:type="dxa"/>
          </w:tcPr>
          <w:p w14:paraId="56F0B2B0" w14:textId="77777777" w:rsidR="00662AAF" w:rsidRDefault="00662AAF" w:rsidP="00594FF5">
            <w:pPr>
              <w:spacing w:line="480" w:lineRule="auto"/>
            </w:pPr>
            <w:proofErr w:type="spellStart"/>
            <w:r w:rsidRPr="0053606E">
              <w:t>Other</w:t>
            </w:r>
            <w:proofErr w:type="spellEnd"/>
            <w:r w:rsidRPr="0053606E">
              <w:t xml:space="preserve"> OECD </w:t>
            </w:r>
            <w:proofErr w:type="spellStart"/>
            <w:r w:rsidRPr="0053606E">
              <w:t>weights</w:t>
            </w:r>
            <w:proofErr w:type="spellEnd"/>
            <w:r w:rsidRPr="0053606E">
              <w:t xml:space="preserve"> factor</w:t>
            </w:r>
          </w:p>
        </w:tc>
        <w:tc>
          <w:tcPr>
            <w:tcW w:w="883" w:type="dxa"/>
          </w:tcPr>
          <w:p w14:paraId="6B03F1C9" w14:textId="77777777" w:rsidR="00662AAF" w:rsidRPr="00FF426B" w:rsidRDefault="00662AAF" w:rsidP="00594FF5">
            <w:pPr>
              <w:spacing w:line="480" w:lineRule="auto"/>
            </w:pPr>
            <w:r w:rsidRPr="00FF426B">
              <w:t>0.25</w:t>
            </w:r>
          </w:p>
        </w:tc>
        <w:tc>
          <w:tcPr>
            <w:tcW w:w="737" w:type="dxa"/>
          </w:tcPr>
          <w:p w14:paraId="115FA2C9" w14:textId="77777777" w:rsidR="00662AAF" w:rsidRPr="00FF426B" w:rsidRDefault="00662AAF" w:rsidP="00594FF5">
            <w:pPr>
              <w:spacing w:line="480" w:lineRule="auto"/>
            </w:pPr>
            <w:r w:rsidRPr="00FF426B">
              <w:t>0</w:t>
            </w:r>
          </w:p>
        </w:tc>
        <w:tc>
          <w:tcPr>
            <w:tcW w:w="896" w:type="dxa"/>
          </w:tcPr>
          <w:p w14:paraId="1CF4A8C0" w14:textId="77777777" w:rsidR="00662AAF" w:rsidRPr="00FF426B" w:rsidRDefault="00662AAF" w:rsidP="00594FF5">
            <w:pPr>
              <w:spacing w:line="480" w:lineRule="auto"/>
            </w:pPr>
            <w:r w:rsidRPr="00FF426B">
              <w:t>0.25</w:t>
            </w:r>
          </w:p>
        </w:tc>
        <w:tc>
          <w:tcPr>
            <w:tcW w:w="776" w:type="dxa"/>
          </w:tcPr>
          <w:p w14:paraId="70FA9C46" w14:textId="77777777" w:rsidR="00662AAF" w:rsidRDefault="00662AAF" w:rsidP="00594FF5">
            <w:pPr>
              <w:spacing w:line="480" w:lineRule="auto"/>
            </w:pPr>
            <w:r w:rsidRPr="00FF426B">
              <w:t>0.5</w:t>
            </w:r>
          </w:p>
        </w:tc>
      </w:tr>
    </w:tbl>
    <w:p w14:paraId="097D2805" w14:textId="77777777" w:rsidR="00B13769" w:rsidRDefault="00662AAF"/>
    <w:sectPr w:rsidR="00B13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F"/>
    <w:rsid w:val="00522647"/>
    <w:rsid w:val="00662AAF"/>
    <w:rsid w:val="00B5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62CD"/>
  <w15:chartTrackingRefBased/>
  <w15:docId w15:val="{73C4EA04-4F0C-43FE-9A8F-8588FC83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Estrada</dc:creator>
  <cp:keywords/>
  <dc:description/>
  <cp:lastModifiedBy>Francisco Estrada</cp:lastModifiedBy>
  <cp:revision>1</cp:revision>
  <dcterms:created xsi:type="dcterms:W3CDTF">2016-03-17T03:14:00Z</dcterms:created>
  <dcterms:modified xsi:type="dcterms:W3CDTF">2016-03-17T03:15:00Z</dcterms:modified>
</cp:coreProperties>
</file>