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1727"/>
        <w:gridCol w:w="1206"/>
        <w:gridCol w:w="1302"/>
        <w:gridCol w:w="821"/>
        <w:gridCol w:w="1001"/>
        <w:gridCol w:w="236"/>
        <w:gridCol w:w="705"/>
        <w:gridCol w:w="995"/>
      </w:tblGrid>
      <w:tr w:rsidR="00FD07D6" w:rsidTr="00D502F3">
        <w:tc>
          <w:tcPr>
            <w:tcW w:w="9750" w:type="dxa"/>
            <w:gridSpan w:val="9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S1.  Preliminary analyses used to determine whether data on nitrogen content (%) in</w:t>
            </w:r>
            <w:r w:rsidRPr="003B2C80">
              <w:rPr>
                <w:rFonts w:ascii="Times New Roman" w:eastAsia="Times New Roman" w:hAnsi="Times New Roman" w:cs="Times New Roman"/>
                <w:color w:val="000000"/>
              </w:rPr>
              <w:t xml:space="preserve"> the primary summer forages of caribou [</w:t>
            </w:r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Rangifer </w:t>
            </w: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tarandus</w:t>
            </w:r>
            <w:proofErr w:type="spellEnd"/>
            <w:r w:rsidRPr="003B2C80">
              <w:rPr>
                <w:rFonts w:ascii="Times New Roman" w:eastAsia="Times New Roman" w:hAnsi="Times New Roman" w:cs="Times New Roman"/>
                <w:color w:val="000000"/>
              </w:rPr>
              <w:t>; tussock cottongrass (</w:t>
            </w: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Eriophorum</w:t>
            </w:r>
            <w:proofErr w:type="spellEnd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vaginatum</w:t>
            </w:r>
            <w:proofErr w:type="spellEnd"/>
            <w:r w:rsidRPr="003B2C80">
              <w:rPr>
                <w:rFonts w:ascii="Times New Roman" w:eastAsia="Times New Roman" w:hAnsi="Times New Roman" w:cs="Times New Roman"/>
                <w:color w:val="000000"/>
              </w:rPr>
              <w:t>), water sedge (</w:t>
            </w:r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Carex </w:t>
            </w: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aquatilis</w:t>
            </w:r>
            <w:proofErr w:type="spellEnd"/>
            <w:r w:rsidRPr="003B2C80">
              <w:rPr>
                <w:rFonts w:ascii="Times New Roman" w:eastAsia="Times New Roman" w:hAnsi="Times New Roman" w:cs="Times New Roman"/>
                <w:color w:val="000000"/>
              </w:rPr>
              <w:t>), louseworts (</w:t>
            </w: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Pedicularis</w:t>
            </w:r>
            <w:proofErr w:type="spellEnd"/>
            <w:r w:rsidRPr="003B2C80">
              <w:rPr>
                <w:rFonts w:ascii="Times New Roman" w:eastAsia="Times New Roman" w:hAnsi="Times New Roman" w:cs="Times New Roman"/>
                <w:color w:val="000000"/>
              </w:rPr>
              <w:t xml:space="preserve"> spp.), and diamond-leaf willow (</w:t>
            </w:r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Salix </w:t>
            </w: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pulchra</w:t>
            </w:r>
            <w:proofErr w:type="spellEnd"/>
            <w:r w:rsidRPr="003B2C80">
              <w:rPr>
                <w:rFonts w:ascii="Times New Roman" w:eastAsia="Times New Roman" w:hAnsi="Times New Roman" w:cs="Times New Roman"/>
                <w:color w:val="000000"/>
              </w:rPr>
              <w:t>)] in 3 ecoregions on the North Slope of the Brooks Range, Alaska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could be pooled across years for 2011–13</w:t>
            </w:r>
            <w:r w:rsidRPr="003B2C8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Models used analysis of covariance to examine fixed main effects of day of the year and year on nitrogen content by ecoregion and species.</w:t>
            </w:r>
          </w:p>
        </w:tc>
      </w:tr>
      <w:tr w:rsidR="00FD07D6" w:rsidTr="00D502F3">
        <w:tc>
          <w:tcPr>
            <w:tcW w:w="1609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Ecoregion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FD07D6" w:rsidRPr="0061245C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n</w:t>
            </w:r>
            <w:r w:rsidRPr="002A0C5B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45C">
              <w:rPr>
                <w:rFonts w:ascii="Times New Roman" w:hAnsi="Times New Roman" w:cs="Times New Roman"/>
                <w:i/>
              </w:rPr>
              <w:t>R</w:t>
            </w:r>
            <w:r w:rsidRPr="006124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1245C">
              <w:rPr>
                <w:rFonts w:ascii="Times New Roman" w:hAnsi="Times New Roman" w:cs="Times New Roman"/>
                <w:vertAlign w:val="subscript"/>
              </w:rPr>
              <w:t>a</w:t>
            </w:r>
            <w:r w:rsidRPr="0061245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7D6" w:rsidRPr="0061245C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Day of the year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</w:tr>
      <w:tr w:rsidR="00FD07D6" w:rsidTr="00D502F3">
        <w:tc>
          <w:tcPr>
            <w:tcW w:w="1609" w:type="dxa"/>
            <w:tcBorders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FD07D6" w:rsidRPr="003B2C80" w:rsidRDefault="00FD07D6" w:rsidP="00D502F3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D07D6" w:rsidRPr="0061245C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245C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45C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FD07D6" w:rsidRPr="0061245C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FD07D6" w:rsidRPr="0061245C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245C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45C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</w:tr>
      <w:tr w:rsidR="00FD07D6" w:rsidTr="00D502F3">
        <w:tc>
          <w:tcPr>
            <w:tcW w:w="1609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Coastal Plain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E. </w:t>
            </w: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vaginatum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0.073</w:t>
            </w:r>
          </w:p>
        </w:tc>
      </w:tr>
      <w:tr w:rsidR="00FD07D6" w:rsidTr="00D502F3">
        <w:tc>
          <w:tcPr>
            <w:tcW w:w="1609" w:type="dxa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D07D6" w:rsidRPr="003B2C80" w:rsidRDefault="00FD07D6" w:rsidP="00D502F3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C. </w:t>
            </w: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aquatilis</w:t>
            </w:r>
            <w:proofErr w:type="spellEnd"/>
          </w:p>
        </w:tc>
        <w:tc>
          <w:tcPr>
            <w:tcW w:w="125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43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82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37.94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7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0.030</w:t>
            </w:r>
          </w:p>
        </w:tc>
      </w:tr>
      <w:tr w:rsidR="00FD07D6" w:rsidTr="00D502F3">
        <w:tc>
          <w:tcPr>
            <w:tcW w:w="1609" w:type="dxa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D07D6" w:rsidRPr="003B2C80" w:rsidRDefault="00FD07D6" w:rsidP="00D502F3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Pedicularis</w:t>
            </w:r>
            <w:proofErr w:type="spellEnd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3B2C80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25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3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2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7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6.86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</w:tr>
      <w:tr w:rsidR="00FD07D6" w:rsidTr="00D502F3">
        <w:tc>
          <w:tcPr>
            <w:tcW w:w="1609" w:type="dxa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D07D6" w:rsidRPr="003B2C80" w:rsidRDefault="00FD07D6" w:rsidP="00D502F3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pulchra</w:t>
            </w:r>
            <w:proofErr w:type="spellEnd"/>
          </w:p>
        </w:tc>
        <w:tc>
          <w:tcPr>
            <w:tcW w:w="125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3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82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101.58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7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0.237</w:t>
            </w:r>
          </w:p>
        </w:tc>
      </w:tr>
      <w:tr w:rsidR="00FD07D6" w:rsidTr="00D502F3">
        <w:tc>
          <w:tcPr>
            <w:tcW w:w="1609" w:type="dxa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Foothills</w:t>
            </w:r>
          </w:p>
        </w:tc>
        <w:tc>
          <w:tcPr>
            <w:tcW w:w="1756" w:type="dxa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E. </w:t>
            </w: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vaginatum</w:t>
            </w:r>
            <w:proofErr w:type="spellEnd"/>
          </w:p>
        </w:tc>
        <w:tc>
          <w:tcPr>
            <w:tcW w:w="125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3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82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52.70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7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0.115</w:t>
            </w:r>
          </w:p>
        </w:tc>
      </w:tr>
      <w:tr w:rsidR="00FD07D6" w:rsidTr="00D502F3">
        <w:tc>
          <w:tcPr>
            <w:tcW w:w="1609" w:type="dxa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D07D6" w:rsidRPr="003B2C80" w:rsidRDefault="00FD07D6" w:rsidP="00D502F3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C. </w:t>
            </w: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aquatilis</w:t>
            </w:r>
            <w:proofErr w:type="spellEnd"/>
          </w:p>
        </w:tc>
        <w:tc>
          <w:tcPr>
            <w:tcW w:w="125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3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82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116.75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7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0.351</w:t>
            </w:r>
          </w:p>
        </w:tc>
      </w:tr>
      <w:tr w:rsidR="00FD07D6" w:rsidTr="00D502F3">
        <w:tc>
          <w:tcPr>
            <w:tcW w:w="1609" w:type="dxa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D07D6" w:rsidRPr="003B2C80" w:rsidRDefault="00FD07D6" w:rsidP="00D502F3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Pedicularis</w:t>
            </w:r>
            <w:proofErr w:type="spellEnd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3B2C80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25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43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2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201.79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7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</w:tr>
      <w:tr w:rsidR="00FD07D6" w:rsidTr="00D502F3">
        <w:tc>
          <w:tcPr>
            <w:tcW w:w="1609" w:type="dxa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D07D6" w:rsidRPr="003B2C80" w:rsidRDefault="00FD07D6" w:rsidP="00D502F3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pulchra</w:t>
            </w:r>
            <w:proofErr w:type="spellEnd"/>
          </w:p>
        </w:tc>
        <w:tc>
          <w:tcPr>
            <w:tcW w:w="125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43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2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233.87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7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0.018</w:t>
            </w:r>
          </w:p>
        </w:tc>
      </w:tr>
      <w:tr w:rsidR="00FD07D6" w:rsidTr="00D502F3">
        <w:tc>
          <w:tcPr>
            <w:tcW w:w="1609" w:type="dxa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Brooks Range</w:t>
            </w:r>
          </w:p>
        </w:tc>
        <w:tc>
          <w:tcPr>
            <w:tcW w:w="1756" w:type="dxa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E. </w:t>
            </w: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vaginatum</w:t>
            </w:r>
            <w:proofErr w:type="spellEnd"/>
          </w:p>
        </w:tc>
        <w:tc>
          <w:tcPr>
            <w:tcW w:w="125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3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82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47.18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7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0.123</w:t>
            </w:r>
          </w:p>
        </w:tc>
      </w:tr>
      <w:tr w:rsidR="00FD07D6" w:rsidTr="00D502F3">
        <w:tc>
          <w:tcPr>
            <w:tcW w:w="1609" w:type="dxa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D07D6" w:rsidRPr="003B2C80" w:rsidRDefault="00FD07D6" w:rsidP="00D502F3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C. </w:t>
            </w: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aquatilis</w:t>
            </w:r>
            <w:proofErr w:type="spellEnd"/>
          </w:p>
        </w:tc>
        <w:tc>
          <w:tcPr>
            <w:tcW w:w="125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3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2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116.75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7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0.351</w:t>
            </w:r>
          </w:p>
        </w:tc>
      </w:tr>
      <w:tr w:rsidR="00FD07D6" w:rsidTr="00D502F3">
        <w:tc>
          <w:tcPr>
            <w:tcW w:w="1609" w:type="dxa"/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D07D6" w:rsidRPr="003B2C80" w:rsidRDefault="00FD07D6" w:rsidP="00D502F3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>Pedicularis</w:t>
            </w:r>
            <w:proofErr w:type="spellEnd"/>
            <w:r w:rsidRPr="003B2C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3B2C80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25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3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82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129.78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7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011" w:type="dxa"/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0.119</w:t>
            </w:r>
          </w:p>
        </w:tc>
      </w:tr>
      <w:tr w:rsidR="00FD07D6" w:rsidTr="00D502F3">
        <w:tc>
          <w:tcPr>
            <w:tcW w:w="1609" w:type="dxa"/>
            <w:tcBorders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FD07D6" w:rsidRPr="003B2C80" w:rsidRDefault="00FD07D6" w:rsidP="00D502F3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pulchra</w:t>
            </w:r>
            <w:proofErr w:type="spellEnd"/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245.41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FD07D6" w:rsidRDefault="00FD07D6" w:rsidP="00D50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0.208</w:t>
            </w:r>
          </w:p>
        </w:tc>
      </w:tr>
      <w:tr w:rsidR="00FD07D6" w:rsidTr="00D502F3">
        <w:tc>
          <w:tcPr>
            <w:tcW w:w="9750" w:type="dxa"/>
            <w:gridSpan w:val="9"/>
            <w:tcBorders>
              <w:top w:val="single" w:sz="4" w:space="0" w:color="auto"/>
            </w:tcBorders>
          </w:tcPr>
          <w:p w:rsidR="00FD07D6" w:rsidRPr="003B2C80" w:rsidRDefault="00FD07D6" w:rsidP="00D502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3B2C8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 w:rsidRPr="003B2C80">
              <w:rPr>
                <w:rFonts w:ascii="Times New Roman" w:eastAsia="Times New Roman" w:hAnsi="Times New Roman" w:cs="Times New Roman"/>
                <w:color w:val="000000"/>
              </w:rPr>
              <w:t>Sample</w:t>
            </w:r>
            <w:proofErr w:type="spellEnd"/>
            <w:r w:rsidRPr="003B2C80">
              <w:rPr>
                <w:rFonts w:ascii="Times New Roman" w:eastAsia="Times New Roman" w:hAnsi="Times New Roman" w:cs="Times New Roman"/>
                <w:color w:val="000000"/>
              </w:rPr>
              <w:t xml:space="preserve"> size</w:t>
            </w:r>
          </w:p>
        </w:tc>
      </w:tr>
      <w:tr w:rsidR="00FD07D6" w:rsidTr="00D502F3">
        <w:tc>
          <w:tcPr>
            <w:tcW w:w="9750" w:type="dxa"/>
            <w:gridSpan w:val="9"/>
            <w:tcBorders>
              <w:bottom w:val="single" w:sz="4" w:space="0" w:color="auto"/>
            </w:tcBorders>
          </w:tcPr>
          <w:p w:rsidR="00FD07D6" w:rsidRPr="001C410C" w:rsidRDefault="00FD07D6" w:rsidP="00D502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Adjusted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coefficient of determination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1999)</w:t>
            </w:r>
          </w:p>
        </w:tc>
      </w:tr>
    </w:tbl>
    <w:p w:rsidR="00A458BE" w:rsidRDefault="00A458BE">
      <w:bookmarkStart w:id="0" w:name="_GoBack"/>
      <w:bookmarkEnd w:id="0"/>
    </w:p>
    <w:sectPr w:rsidR="00A45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6"/>
    <w:rsid w:val="00A458BE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Devereux Gustine</dc:creator>
  <cp:lastModifiedBy>David Devereux Gustine</cp:lastModifiedBy>
  <cp:revision>1</cp:revision>
  <dcterms:created xsi:type="dcterms:W3CDTF">2017-02-03T16:36:00Z</dcterms:created>
  <dcterms:modified xsi:type="dcterms:W3CDTF">2017-02-03T16:36:00Z</dcterms:modified>
</cp:coreProperties>
</file>