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5406" w14:textId="77777777" w:rsidR="00E46E10" w:rsidRDefault="00E46E10" w:rsidP="00E46E10">
      <w:pPr>
        <w:rPr>
          <w:rFonts w:cs="Arial"/>
          <w:sz w:val="20"/>
          <w:szCs w:val="20"/>
        </w:rPr>
      </w:pPr>
      <w:r w:rsidRPr="00181CFC">
        <w:rPr>
          <w:rFonts w:cs="Arial"/>
          <w:sz w:val="20"/>
          <w:szCs w:val="20"/>
        </w:rPr>
        <w:t>Table 2. Classification of additional categori</w:t>
      </w:r>
      <w:r>
        <w:rPr>
          <w:rFonts w:cs="Arial"/>
          <w:sz w:val="20"/>
          <w:szCs w:val="20"/>
        </w:rPr>
        <w:t>es used in DHS and MICS surveys</w:t>
      </w:r>
    </w:p>
    <w:tbl>
      <w:tblPr>
        <w:tblStyle w:val="TableGrid"/>
        <w:tblpPr w:leftFromText="180" w:rightFromText="180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1418"/>
        <w:gridCol w:w="1333"/>
        <w:gridCol w:w="1361"/>
        <w:gridCol w:w="1099"/>
        <w:gridCol w:w="1350"/>
        <w:gridCol w:w="1099"/>
        <w:gridCol w:w="1350"/>
      </w:tblGrid>
      <w:tr w:rsidR="00E46E10" w:rsidRPr="003B26F7" w14:paraId="79B7B862" w14:textId="77777777" w:rsidTr="008D5DD2">
        <w:trPr>
          <w:trHeight w:val="1260"/>
        </w:trPr>
        <w:tc>
          <w:tcPr>
            <w:tcW w:w="787" w:type="pct"/>
            <w:vMerge w:val="restart"/>
            <w:noWrap/>
            <w:hideMark/>
          </w:tcPr>
          <w:p w14:paraId="68EC3315" w14:textId="77777777" w:rsidR="00E46E10" w:rsidRPr="003B26F7" w:rsidRDefault="00E46E10" w:rsidP="008D5DD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Survey</w:t>
            </w:r>
          </w:p>
        </w:tc>
        <w:tc>
          <w:tcPr>
            <w:tcW w:w="1495" w:type="pct"/>
            <w:gridSpan w:val="2"/>
            <w:hideMark/>
          </w:tcPr>
          <w:p w14:paraId="4870A2B7" w14:textId="77777777" w:rsidR="00E46E10" w:rsidRPr="003B26F7" w:rsidRDefault="00E46E10" w:rsidP="008D5D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Source of drinking water</w:t>
            </w:r>
          </w:p>
        </w:tc>
        <w:tc>
          <w:tcPr>
            <w:tcW w:w="1359" w:type="pct"/>
            <w:gridSpan w:val="2"/>
            <w:hideMark/>
          </w:tcPr>
          <w:p w14:paraId="241F2A83" w14:textId="77777777" w:rsidR="00E46E10" w:rsidRPr="003B26F7" w:rsidRDefault="00E46E10" w:rsidP="008D5D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 xml:space="preserve">Source of water for other </w:t>
            </w:r>
            <w:proofErr w:type="spellStart"/>
            <w:r w:rsidRPr="003B26F7">
              <w:rPr>
                <w:rFonts w:cstheme="minorHAnsi"/>
                <w:sz w:val="18"/>
                <w:szCs w:val="18"/>
              </w:rPr>
              <w:t>purposes</w:t>
            </w:r>
            <w:r w:rsidRPr="003B26F7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9" w:type="pct"/>
            <w:gridSpan w:val="2"/>
            <w:hideMark/>
          </w:tcPr>
          <w:p w14:paraId="5AAEA9DF" w14:textId="77777777" w:rsidR="00E46E10" w:rsidRPr="003B26F7" w:rsidRDefault="00E46E10" w:rsidP="008D5D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Sanitation</w:t>
            </w:r>
            <w:r>
              <w:rPr>
                <w:rFonts w:cstheme="minorHAnsi"/>
                <w:sz w:val="18"/>
                <w:szCs w:val="18"/>
              </w:rPr>
              <w:t xml:space="preserve"> type</w:t>
            </w:r>
          </w:p>
        </w:tc>
      </w:tr>
      <w:tr w:rsidR="00E46E10" w:rsidRPr="003B26F7" w14:paraId="5E7F239A" w14:textId="77777777" w:rsidTr="008D5DD2">
        <w:trPr>
          <w:trHeight w:val="315"/>
        </w:trPr>
        <w:tc>
          <w:tcPr>
            <w:tcW w:w="787" w:type="pct"/>
            <w:vMerge/>
            <w:noWrap/>
            <w:hideMark/>
          </w:tcPr>
          <w:p w14:paraId="182988C8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pct"/>
            <w:noWrap/>
            <w:hideMark/>
          </w:tcPr>
          <w:p w14:paraId="0C7119D4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Improved</w:t>
            </w:r>
          </w:p>
        </w:tc>
        <w:tc>
          <w:tcPr>
            <w:tcW w:w="755" w:type="pct"/>
            <w:noWrap/>
            <w:hideMark/>
          </w:tcPr>
          <w:p w14:paraId="69F8A431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Unimproved</w:t>
            </w:r>
          </w:p>
        </w:tc>
        <w:tc>
          <w:tcPr>
            <w:tcW w:w="610" w:type="pct"/>
            <w:noWrap/>
            <w:hideMark/>
          </w:tcPr>
          <w:p w14:paraId="02BFE543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Improved</w:t>
            </w:r>
          </w:p>
        </w:tc>
        <w:tc>
          <w:tcPr>
            <w:tcW w:w="749" w:type="pct"/>
            <w:noWrap/>
            <w:hideMark/>
          </w:tcPr>
          <w:p w14:paraId="16CAFFAD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Unimproved</w:t>
            </w:r>
          </w:p>
        </w:tc>
        <w:tc>
          <w:tcPr>
            <w:tcW w:w="610" w:type="pct"/>
            <w:noWrap/>
            <w:hideMark/>
          </w:tcPr>
          <w:p w14:paraId="04BF5C81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Improved</w:t>
            </w:r>
          </w:p>
        </w:tc>
        <w:tc>
          <w:tcPr>
            <w:tcW w:w="749" w:type="pct"/>
            <w:noWrap/>
            <w:hideMark/>
          </w:tcPr>
          <w:p w14:paraId="3C4C8460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Unimproved</w:t>
            </w:r>
          </w:p>
        </w:tc>
      </w:tr>
      <w:tr w:rsidR="00E46E10" w:rsidRPr="003B26F7" w14:paraId="24E19044" w14:textId="77777777" w:rsidTr="008D5DD2">
        <w:trPr>
          <w:trHeight w:val="521"/>
        </w:trPr>
        <w:tc>
          <w:tcPr>
            <w:tcW w:w="787" w:type="pct"/>
            <w:hideMark/>
          </w:tcPr>
          <w:p w14:paraId="4E85A4C9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Burundi</w:t>
            </w:r>
          </w:p>
        </w:tc>
        <w:tc>
          <w:tcPr>
            <w:tcW w:w="740" w:type="pct"/>
            <w:hideMark/>
          </w:tcPr>
          <w:p w14:paraId="780F84B0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3B26F7">
              <w:rPr>
                <w:rFonts w:cstheme="minorHAnsi"/>
                <w:sz w:val="18"/>
                <w:szCs w:val="18"/>
              </w:rPr>
              <w:t>Other' classed as improved</w:t>
            </w:r>
          </w:p>
        </w:tc>
        <w:tc>
          <w:tcPr>
            <w:tcW w:w="755" w:type="pct"/>
            <w:hideMark/>
          </w:tcPr>
          <w:p w14:paraId="066253B2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0" w:type="pct"/>
            <w:noWrap/>
            <w:hideMark/>
          </w:tcPr>
          <w:p w14:paraId="05317B9B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9" w:type="pct"/>
            <w:noWrap/>
            <w:hideMark/>
          </w:tcPr>
          <w:p w14:paraId="565F95AA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0" w:type="pct"/>
            <w:hideMark/>
          </w:tcPr>
          <w:p w14:paraId="2BFD88FB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9" w:type="pct"/>
            <w:hideMark/>
          </w:tcPr>
          <w:p w14:paraId="387CC014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E46E10" w:rsidRPr="003B26F7" w14:paraId="06122D2C" w14:textId="77777777" w:rsidTr="008D5DD2">
        <w:trPr>
          <w:trHeight w:val="543"/>
        </w:trPr>
        <w:tc>
          <w:tcPr>
            <w:tcW w:w="787" w:type="pct"/>
            <w:hideMark/>
          </w:tcPr>
          <w:p w14:paraId="7C6841BD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Central African Republic</w:t>
            </w:r>
          </w:p>
        </w:tc>
        <w:tc>
          <w:tcPr>
            <w:tcW w:w="740" w:type="pct"/>
            <w:hideMark/>
          </w:tcPr>
          <w:p w14:paraId="46AEE2FA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Pump well piped</w:t>
            </w:r>
          </w:p>
        </w:tc>
        <w:tc>
          <w:tcPr>
            <w:tcW w:w="755" w:type="pct"/>
            <w:hideMark/>
          </w:tcPr>
          <w:p w14:paraId="3E465947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Pump well non-piped</w:t>
            </w:r>
          </w:p>
        </w:tc>
        <w:tc>
          <w:tcPr>
            <w:tcW w:w="610" w:type="pct"/>
            <w:hideMark/>
          </w:tcPr>
          <w:p w14:paraId="2BDBC512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Pump well piped</w:t>
            </w:r>
          </w:p>
        </w:tc>
        <w:tc>
          <w:tcPr>
            <w:tcW w:w="749" w:type="pct"/>
            <w:hideMark/>
          </w:tcPr>
          <w:p w14:paraId="292419EF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Pump well non-piped</w:t>
            </w:r>
          </w:p>
        </w:tc>
        <w:tc>
          <w:tcPr>
            <w:tcW w:w="610" w:type="pct"/>
            <w:hideMark/>
          </w:tcPr>
          <w:p w14:paraId="6903A9DB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Hole latrine with slab</w:t>
            </w:r>
          </w:p>
        </w:tc>
        <w:tc>
          <w:tcPr>
            <w:tcW w:w="749" w:type="pct"/>
            <w:hideMark/>
          </w:tcPr>
          <w:p w14:paraId="4C983410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E46E10" w:rsidRPr="003B26F7" w14:paraId="37DBAF43" w14:textId="77777777" w:rsidTr="008D5DD2">
        <w:trPr>
          <w:trHeight w:val="1273"/>
        </w:trPr>
        <w:tc>
          <w:tcPr>
            <w:tcW w:w="787" w:type="pct"/>
            <w:hideMark/>
          </w:tcPr>
          <w:p w14:paraId="025B9EEB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Mauritania</w:t>
            </w:r>
          </w:p>
        </w:tc>
        <w:tc>
          <w:tcPr>
            <w:tcW w:w="740" w:type="pct"/>
            <w:hideMark/>
          </w:tcPr>
          <w:p w14:paraId="0FEC5E1D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B26F7">
              <w:rPr>
                <w:rFonts w:cstheme="minorHAnsi"/>
                <w:sz w:val="18"/>
                <w:szCs w:val="18"/>
              </w:rPr>
              <w:t>Puits</w:t>
            </w:r>
            <w:proofErr w:type="spellEnd"/>
            <w:r w:rsidRPr="003B26F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26F7">
              <w:rPr>
                <w:rFonts w:cstheme="minorHAnsi"/>
                <w:sz w:val="18"/>
                <w:szCs w:val="18"/>
              </w:rPr>
              <w:t>ou</w:t>
            </w:r>
            <w:proofErr w:type="spellEnd"/>
            <w:r w:rsidRPr="003B26F7">
              <w:rPr>
                <w:rFonts w:cstheme="minorHAnsi"/>
                <w:sz w:val="18"/>
                <w:szCs w:val="18"/>
              </w:rPr>
              <w:t xml:space="preserve"> forage a PMH</w:t>
            </w:r>
            <w:r w:rsidRPr="003B26F7">
              <w:rPr>
                <w:rFonts w:cstheme="minorHAnsi"/>
                <w:sz w:val="18"/>
                <w:szCs w:val="18"/>
              </w:rPr>
              <w:br/>
              <w:t>Modern covered well</w:t>
            </w:r>
          </w:p>
        </w:tc>
        <w:tc>
          <w:tcPr>
            <w:tcW w:w="755" w:type="pct"/>
            <w:hideMark/>
          </w:tcPr>
          <w:p w14:paraId="79E32F9D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Modern uncovered well</w:t>
            </w:r>
            <w:r w:rsidRPr="003B26F7">
              <w:rPr>
                <w:rFonts w:cstheme="minorHAnsi"/>
                <w:sz w:val="18"/>
                <w:szCs w:val="18"/>
              </w:rPr>
              <w:br/>
              <w:t>Traditional covered well</w:t>
            </w:r>
            <w:r w:rsidRPr="003B26F7">
              <w:rPr>
                <w:rFonts w:cstheme="minorHAnsi"/>
                <w:sz w:val="18"/>
                <w:szCs w:val="18"/>
              </w:rPr>
              <w:br/>
              <w:t>Traditional uncovered well</w:t>
            </w:r>
          </w:p>
        </w:tc>
        <w:tc>
          <w:tcPr>
            <w:tcW w:w="610" w:type="pct"/>
            <w:noWrap/>
            <w:hideMark/>
          </w:tcPr>
          <w:p w14:paraId="1BA689E8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9" w:type="pct"/>
            <w:noWrap/>
            <w:hideMark/>
          </w:tcPr>
          <w:p w14:paraId="5F054419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0" w:type="pct"/>
            <w:hideMark/>
          </w:tcPr>
          <w:p w14:paraId="68126379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9" w:type="pct"/>
            <w:hideMark/>
          </w:tcPr>
          <w:p w14:paraId="247F047B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E46E10" w:rsidRPr="003B26F7" w14:paraId="471D82DB" w14:textId="77777777" w:rsidTr="008D5DD2">
        <w:trPr>
          <w:trHeight w:val="841"/>
        </w:trPr>
        <w:tc>
          <w:tcPr>
            <w:tcW w:w="787" w:type="pct"/>
            <w:hideMark/>
          </w:tcPr>
          <w:p w14:paraId="01DF693F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Mozambique</w:t>
            </w:r>
          </w:p>
        </w:tc>
        <w:tc>
          <w:tcPr>
            <w:tcW w:w="740" w:type="pct"/>
            <w:hideMark/>
          </w:tcPr>
          <w:p w14:paraId="72D5496F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Neighbour's house</w:t>
            </w:r>
            <w:r w:rsidRPr="003B26F7">
              <w:rPr>
                <w:rFonts w:cstheme="minorHAnsi"/>
                <w:sz w:val="18"/>
                <w:szCs w:val="18"/>
              </w:rPr>
              <w:br/>
              <w:t>Borehole with pump</w:t>
            </w:r>
          </w:p>
        </w:tc>
        <w:tc>
          <w:tcPr>
            <w:tcW w:w="755" w:type="pct"/>
            <w:hideMark/>
          </w:tcPr>
          <w:p w14:paraId="7B6F2654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0" w:type="pct"/>
            <w:noWrap/>
            <w:hideMark/>
          </w:tcPr>
          <w:p w14:paraId="721E50C9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9" w:type="pct"/>
            <w:noWrap/>
            <w:hideMark/>
          </w:tcPr>
          <w:p w14:paraId="100E1AFF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0" w:type="pct"/>
            <w:hideMark/>
          </w:tcPr>
          <w:p w14:paraId="082E5260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9" w:type="pct"/>
            <w:hideMark/>
          </w:tcPr>
          <w:p w14:paraId="741AE704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E46E10" w:rsidRPr="003B26F7" w14:paraId="0850D39A" w14:textId="77777777" w:rsidTr="008D5DD2">
        <w:trPr>
          <w:trHeight w:val="695"/>
        </w:trPr>
        <w:tc>
          <w:tcPr>
            <w:tcW w:w="787" w:type="pct"/>
            <w:hideMark/>
          </w:tcPr>
          <w:p w14:paraId="5231F5E2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Senegal</w:t>
            </w:r>
          </w:p>
        </w:tc>
        <w:tc>
          <w:tcPr>
            <w:tcW w:w="740" w:type="pct"/>
            <w:hideMark/>
          </w:tcPr>
          <w:p w14:paraId="61B2AF46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55" w:type="pct"/>
            <w:hideMark/>
          </w:tcPr>
          <w:p w14:paraId="1EFAF7E8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0" w:type="pct"/>
            <w:noWrap/>
            <w:hideMark/>
          </w:tcPr>
          <w:p w14:paraId="1D055334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49" w:type="pct"/>
            <w:noWrap/>
            <w:hideMark/>
          </w:tcPr>
          <w:p w14:paraId="7055B626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10" w:type="pct"/>
            <w:hideMark/>
          </w:tcPr>
          <w:p w14:paraId="2339BBDA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Latrine with manual flush</w:t>
            </w:r>
          </w:p>
        </w:tc>
        <w:tc>
          <w:tcPr>
            <w:tcW w:w="749" w:type="pct"/>
            <w:hideMark/>
          </w:tcPr>
          <w:p w14:paraId="78E87155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Traditional latrine</w:t>
            </w:r>
          </w:p>
        </w:tc>
      </w:tr>
      <w:tr w:rsidR="00E46E10" w:rsidRPr="003B26F7" w14:paraId="4D972A10" w14:textId="77777777" w:rsidTr="008D5DD2">
        <w:trPr>
          <w:trHeight w:val="2122"/>
        </w:trPr>
        <w:tc>
          <w:tcPr>
            <w:tcW w:w="787" w:type="pct"/>
            <w:hideMark/>
          </w:tcPr>
          <w:p w14:paraId="1FD26907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Uganda</w:t>
            </w:r>
          </w:p>
        </w:tc>
        <w:tc>
          <w:tcPr>
            <w:tcW w:w="740" w:type="pct"/>
            <w:hideMark/>
          </w:tcPr>
          <w:p w14:paraId="66140037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Borehole in yard/ plot</w:t>
            </w:r>
            <w:r w:rsidRPr="003B26F7">
              <w:rPr>
                <w:rFonts w:cstheme="minorHAnsi"/>
                <w:sz w:val="18"/>
                <w:szCs w:val="18"/>
              </w:rPr>
              <w:br/>
              <w:t>Public borehole</w:t>
            </w:r>
            <w:r w:rsidRPr="003B26F7">
              <w:rPr>
                <w:rFonts w:cstheme="minorHAnsi"/>
                <w:sz w:val="18"/>
                <w:szCs w:val="18"/>
              </w:rPr>
              <w:br/>
              <w:t xml:space="preserve">Protected well / spring </w:t>
            </w:r>
            <w:r w:rsidRPr="003B26F7">
              <w:rPr>
                <w:rFonts w:cstheme="minorHAnsi"/>
                <w:sz w:val="18"/>
                <w:szCs w:val="18"/>
              </w:rPr>
              <w:lastRenderedPageBreak/>
              <w:t>in yard / plot</w:t>
            </w:r>
            <w:r w:rsidRPr="003B26F7">
              <w:rPr>
                <w:rFonts w:cstheme="minorHAnsi"/>
                <w:sz w:val="18"/>
                <w:szCs w:val="18"/>
              </w:rPr>
              <w:br/>
              <w:t>Protected public spring / well</w:t>
            </w:r>
          </w:p>
        </w:tc>
        <w:tc>
          <w:tcPr>
            <w:tcW w:w="755" w:type="pct"/>
            <w:hideMark/>
          </w:tcPr>
          <w:p w14:paraId="2859338B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lastRenderedPageBreak/>
              <w:t>Unprotected well / spring in yard / plot</w:t>
            </w:r>
            <w:r w:rsidRPr="003B26F7">
              <w:rPr>
                <w:rFonts w:cstheme="minorHAnsi"/>
                <w:sz w:val="18"/>
                <w:szCs w:val="18"/>
              </w:rPr>
              <w:br/>
              <w:t>Unprotected public well / spring</w:t>
            </w:r>
          </w:p>
        </w:tc>
        <w:tc>
          <w:tcPr>
            <w:tcW w:w="610" w:type="pct"/>
            <w:noWrap/>
            <w:hideMark/>
          </w:tcPr>
          <w:p w14:paraId="011B351D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pct"/>
            <w:noWrap/>
            <w:hideMark/>
          </w:tcPr>
          <w:p w14:paraId="0BD1564E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hideMark/>
          </w:tcPr>
          <w:p w14:paraId="78E8ADB9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Covered pit latrine with slab</w:t>
            </w:r>
            <w:r w:rsidRPr="003B26F7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3B26F7">
              <w:rPr>
                <w:rFonts w:cstheme="minorHAnsi"/>
                <w:sz w:val="18"/>
                <w:szCs w:val="18"/>
              </w:rPr>
              <w:t>Ecosan</w:t>
            </w:r>
            <w:proofErr w:type="spellEnd"/>
          </w:p>
        </w:tc>
        <w:tc>
          <w:tcPr>
            <w:tcW w:w="749" w:type="pct"/>
            <w:hideMark/>
          </w:tcPr>
          <w:p w14:paraId="115D912D" w14:textId="77777777" w:rsidR="00E46E10" w:rsidRPr="003B26F7" w:rsidRDefault="00E46E10" w:rsidP="008D5DD2">
            <w:pPr>
              <w:rPr>
                <w:rFonts w:cstheme="minorHAnsi"/>
                <w:sz w:val="18"/>
                <w:szCs w:val="18"/>
              </w:rPr>
            </w:pPr>
            <w:r w:rsidRPr="003B26F7">
              <w:rPr>
                <w:rFonts w:cstheme="minorHAnsi"/>
                <w:sz w:val="18"/>
                <w:szCs w:val="18"/>
              </w:rPr>
              <w:t>Covered pit latrine no slab</w:t>
            </w:r>
            <w:r w:rsidRPr="003B26F7">
              <w:rPr>
                <w:rFonts w:cstheme="minorHAnsi"/>
                <w:sz w:val="18"/>
                <w:szCs w:val="18"/>
              </w:rPr>
              <w:br/>
              <w:t>Uncovered pit latrine with slab</w:t>
            </w:r>
            <w:r w:rsidRPr="003B26F7">
              <w:rPr>
                <w:rFonts w:cstheme="minorHAnsi"/>
                <w:sz w:val="18"/>
                <w:szCs w:val="18"/>
              </w:rPr>
              <w:br/>
            </w:r>
            <w:r w:rsidRPr="003B26F7">
              <w:rPr>
                <w:rFonts w:cstheme="minorHAnsi"/>
                <w:sz w:val="18"/>
                <w:szCs w:val="18"/>
              </w:rPr>
              <w:lastRenderedPageBreak/>
              <w:t>Uncovered pit latrine no slab</w:t>
            </w:r>
          </w:p>
        </w:tc>
      </w:tr>
    </w:tbl>
    <w:p w14:paraId="3B3582ED" w14:textId="77777777" w:rsidR="00E46E10" w:rsidRPr="00F24456" w:rsidRDefault="00E46E10" w:rsidP="00E46E10">
      <w:pPr>
        <w:rPr>
          <w:rFonts w:cs="Arial"/>
          <w:sz w:val="20"/>
          <w:szCs w:val="20"/>
        </w:rPr>
      </w:pPr>
    </w:p>
    <w:p w14:paraId="0EEC9325" w14:textId="77777777" w:rsidR="009661FA" w:rsidRDefault="00E46E10" w:rsidP="00E46E10">
      <w:r w:rsidRPr="00181CFC">
        <w:rPr>
          <w:rFonts w:eastAsia="Helvetica" w:cs="Arial"/>
          <w:kern w:val="1"/>
          <w:sz w:val="18"/>
          <w:szCs w:val="18"/>
        </w:rPr>
        <w:t xml:space="preserve">No data available </w:t>
      </w:r>
      <w:r>
        <w:rPr>
          <w:rFonts w:eastAsia="Helvetica" w:cs="Arial"/>
          <w:kern w:val="1"/>
          <w:sz w:val="18"/>
          <w:szCs w:val="18"/>
        </w:rPr>
        <w:t xml:space="preserve">on source of water for other purposes </w:t>
      </w:r>
      <w:r w:rsidRPr="00181CFC">
        <w:rPr>
          <w:rFonts w:eastAsia="Helvetica" w:cs="Arial"/>
          <w:kern w:val="1"/>
          <w:sz w:val="18"/>
          <w:szCs w:val="18"/>
        </w:rPr>
        <w:t>for Benin, Burkina Faso, Burundi, Comoros, Côte d'Ivoire, Democratic Republic of the Congo, Guinea, Liberia, Mali Mozambique, Namibia, Nigeria, Rwanda, Senegal, Sierra Leone, Togo or Zambia</w:t>
      </w:r>
      <w:bookmarkStart w:id="0" w:name="_GoBack"/>
      <w:bookmarkEnd w:id="0"/>
    </w:p>
    <w:sectPr w:rsidR="009661FA" w:rsidSect="00B909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0"/>
    <w:rsid w:val="004E7A25"/>
    <w:rsid w:val="00B909D7"/>
    <w:rsid w:val="00E2317C"/>
    <w:rsid w:val="00E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D4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6E10"/>
    <w:pPr>
      <w:spacing w:line="480" w:lineRule="auto"/>
    </w:pPr>
    <w:rPr>
      <w:rFonts w:ascii="Arial" w:eastAsia="Arial Unicode MS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E10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46E10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</dc:creator>
  <cp:keywords/>
  <dc:description/>
  <cp:lastModifiedBy>Rachel Roche</cp:lastModifiedBy>
  <cp:revision>1</cp:revision>
  <dcterms:created xsi:type="dcterms:W3CDTF">2016-09-03T08:17:00Z</dcterms:created>
  <dcterms:modified xsi:type="dcterms:W3CDTF">2016-09-03T08:18:00Z</dcterms:modified>
</cp:coreProperties>
</file>