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4C0C" w:rsidRDefault="00880A73" w:rsidP="004B4C0C">
      <w:pPr>
        <w:pStyle w:val="Heading1"/>
        <w:spacing w:before="120" w:after="120" w:line="276" w:lineRule="auto"/>
        <w:jc w:val="left"/>
        <w:rPr>
          <w:rFonts w:ascii="Times New Roman" w:hAnsi="Times New Roman"/>
          <w:iCs/>
          <w:kern w:val="0"/>
          <w:sz w:val="24"/>
          <w:szCs w:val="24"/>
        </w:rPr>
      </w:pPr>
      <w:r>
        <w:rPr>
          <w:rFonts w:ascii="Times New Roman" w:hAnsi="Times New Roman"/>
          <w:iCs/>
          <w:kern w:val="0"/>
          <w:sz w:val="24"/>
          <w:szCs w:val="24"/>
        </w:rPr>
        <w:t>S1 Text.</w:t>
      </w:r>
      <w:r w:rsidR="004B4C0C" w:rsidRPr="00D806AF">
        <w:rPr>
          <w:rFonts w:ascii="Times New Roman" w:hAnsi="Times New Roman"/>
          <w:iCs/>
          <w:kern w:val="0"/>
          <w:sz w:val="24"/>
          <w:szCs w:val="24"/>
        </w:rPr>
        <w:t xml:space="preserve"> </w:t>
      </w:r>
      <w:r w:rsidR="004B4C0C">
        <w:rPr>
          <w:rFonts w:ascii="Times New Roman" w:hAnsi="Times New Roman"/>
          <w:iCs/>
          <w:kern w:val="0"/>
          <w:sz w:val="24"/>
          <w:szCs w:val="24"/>
        </w:rPr>
        <w:t>Validity and reliability tests of the patient experience survey</w:t>
      </w:r>
      <w:r>
        <w:rPr>
          <w:rFonts w:ascii="Times New Roman" w:hAnsi="Times New Roman"/>
          <w:iCs/>
          <w:kern w:val="0"/>
          <w:sz w:val="24"/>
          <w:szCs w:val="24"/>
        </w:rPr>
        <w:t>.</w:t>
      </w:r>
      <w:bookmarkStart w:id="0" w:name="_GoBack"/>
      <w:bookmarkEnd w:id="0"/>
    </w:p>
    <w:p w:rsidR="003244A1" w:rsidRDefault="004B4C0C" w:rsidP="004B4C0C">
      <w:pPr>
        <w:pStyle w:val="Default"/>
        <w:spacing w:beforeLines="75" w:before="180" w:line="360" w:lineRule="auto"/>
        <w:rPr>
          <w:iCs/>
          <w:color w:val="auto"/>
        </w:rPr>
      </w:pPr>
      <w:r>
        <w:rPr>
          <w:iCs/>
          <w:color w:val="auto"/>
        </w:rPr>
        <w:t xml:space="preserve">Using data from the </w:t>
      </w:r>
      <w:r w:rsidR="003244A1">
        <w:rPr>
          <w:iCs/>
          <w:color w:val="auto"/>
        </w:rPr>
        <w:t xml:space="preserve">2013 </w:t>
      </w:r>
      <w:r>
        <w:rPr>
          <w:iCs/>
          <w:color w:val="auto"/>
        </w:rPr>
        <w:t>pilot test of the patient experience survey, w</w:t>
      </w:r>
      <w:r w:rsidRPr="00E76940">
        <w:rPr>
          <w:iCs/>
          <w:color w:val="auto"/>
        </w:rPr>
        <w:t xml:space="preserve">e conducted item analysis (Cronbach’s alpha), exploratory factor analysis, and confirmatory factor analysis (structural equation model) to test the </w:t>
      </w:r>
      <w:r>
        <w:rPr>
          <w:iCs/>
          <w:color w:val="auto"/>
        </w:rPr>
        <w:t>reliability and validity of the questionnaire</w:t>
      </w:r>
      <w:r w:rsidRPr="00E76940">
        <w:rPr>
          <w:iCs/>
          <w:color w:val="auto"/>
        </w:rPr>
        <w:t xml:space="preserve">.  In confirmatory factor analysis, we used modification indices (MIs) to modify the model and used the fitness indices to select the best model from alternative models.  Based on these analyses, four dimensions based on </w:t>
      </w:r>
      <w:r>
        <w:rPr>
          <w:iCs/>
          <w:color w:val="auto"/>
        </w:rPr>
        <w:t>37</w:t>
      </w:r>
      <w:r w:rsidRPr="00E76940">
        <w:rPr>
          <w:iCs/>
          <w:color w:val="auto"/>
        </w:rPr>
        <w:t xml:space="preserve"> items </w:t>
      </w:r>
      <w:r>
        <w:rPr>
          <w:iCs/>
          <w:color w:val="auto"/>
        </w:rPr>
        <w:t>were ultimately included in the patient experience survey</w:t>
      </w:r>
      <w:r w:rsidRPr="00E76940">
        <w:rPr>
          <w:iCs/>
          <w:color w:val="auto"/>
        </w:rPr>
        <w:t>.</w:t>
      </w:r>
      <w:r w:rsidR="003244A1">
        <w:rPr>
          <w:iCs/>
          <w:color w:val="auto"/>
        </w:rPr>
        <w:t xml:space="preserve"> </w:t>
      </w:r>
    </w:p>
    <w:p w:rsidR="004B4C0C" w:rsidRDefault="003244A1" w:rsidP="004B4C0C">
      <w:pPr>
        <w:pStyle w:val="Default"/>
        <w:spacing w:beforeLines="75" w:before="180" w:line="360" w:lineRule="auto"/>
        <w:rPr>
          <w:iCs/>
          <w:color w:val="auto"/>
        </w:rPr>
      </w:pPr>
      <w:r>
        <w:rPr>
          <w:iCs/>
          <w:color w:val="auto"/>
        </w:rPr>
        <w:t xml:space="preserve">Table 1 below presents the goodness-of-fit test statistics for the 2013 data (pilot) and the 2014 data (used in this study); Table 2 presents the internal validity measures for the entire questionnaire and for the 4 individual dimensions. </w:t>
      </w:r>
    </w:p>
    <w:p w:rsidR="003244A1" w:rsidRDefault="003244A1" w:rsidP="003244A1">
      <w:pPr>
        <w:spacing w:line="360" w:lineRule="auto"/>
        <w:jc w:val="left"/>
      </w:pPr>
      <w:r w:rsidRPr="003244A1">
        <w:rPr>
          <w:rFonts w:hint="eastAsia"/>
        </w:rPr>
        <w:t>Table</w:t>
      </w:r>
      <w:r w:rsidRPr="003244A1">
        <w:t xml:space="preserve"> 1</w:t>
      </w:r>
      <w:r>
        <w:t xml:space="preserve">. </w:t>
      </w:r>
      <w:r w:rsidRPr="003244A1">
        <w:t>Tests of Goodness of Fit</w:t>
      </w:r>
    </w:p>
    <w:tbl>
      <w:tblPr>
        <w:tblW w:w="7710" w:type="dxa"/>
        <w:tblLayout w:type="fixed"/>
        <w:tblLook w:val="0000" w:firstRow="0" w:lastRow="0" w:firstColumn="0" w:lastColumn="0" w:noHBand="0" w:noVBand="0"/>
      </w:tblPr>
      <w:tblGrid>
        <w:gridCol w:w="4962"/>
        <w:gridCol w:w="1374"/>
        <w:gridCol w:w="1374"/>
      </w:tblGrid>
      <w:tr w:rsidR="003244A1" w:rsidRPr="00A83B04" w:rsidTr="003244A1">
        <w:trPr>
          <w:trHeight w:val="285"/>
        </w:trPr>
        <w:tc>
          <w:tcPr>
            <w:tcW w:w="4962" w:type="dxa"/>
            <w:tcBorders>
              <w:top w:val="single" w:sz="4" w:space="0" w:color="auto"/>
              <w:left w:val="nil"/>
              <w:bottom w:val="single" w:sz="4" w:space="0" w:color="auto"/>
              <w:right w:val="nil"/>
            </w:tcBorders>
            <w:vAlign w:val="center"/>
          </w:tcPr>
          <w:p w:rsidR="003244A1" w:rsidRPr="00A83B04" w:rsidRDefault="003244A1" w:rsidP="003244A1">
            <w:pPr>
              <w:jc w:val="left"/>
              <w:rPr>
                <w:rFonts w:ascii="Times New Roman" w:hAnsi="Times New Roman"/>
                <w:sz w:val="20"/>
                <w:szCs w:val="20"/>
              </w:rPr>
            </w:pPr>
            <w:r>
              <w:rPr>
                <w:rFonts w:ascii="Times New Roman" w:hAnsi="Times New Roman" w:hint="eastAsia"/>
                <w:sz w:val="20"/>
                <w:szCs w:val="20"/>
              </w:rPr>
              <w:t>P</w:t>
            </w:r>
            <w:r>
              <w:rPr>
                <w:rFonts w:ascii="Times New Roman" w:hAnsi="Times New Roman"/>
                <w:sz w:val="20"/>
                <w:szCs w:val="20"/>
              </w:rPr>
              <w:t>arameters</w:t>
            </w:r>
          </w:p>
        </w:tc>
        <w:tc>
          <w:tcPr>
            <w:tcW w:w="1374" w:type="dxa"/>
            <w:tcBorders>
              <w:top w:val="single" w:sz="4" w:space="0" w:color="auto"/>
              <w:left w:val="nil"/>
              <w:bottom w:val="single" w:sz="4" w:space="0" w:color="auto"/>
              <w:right w:val="nil"/>
            </w:tcBorders>
            <w:vAlign w:val="center"/>
          </w:tcPr>
          <w:p w:rsidR="003244A1" w:rsidRPr="00A83B04" w:rsidRDefault="003244A1" w:rsidP="003244A1">
            <w:pPr>
              <w:jc w:val="left"/>
              <w:rPr>
                <w:rFonts w:ascii="Times New Roman" w:hAnsi="Times New Roman"/>
                <w:sz w:val="20"/>
                <w:szCs w:val="20"/>
              </w:rPr>
            </w:pPr>
            <w:r w:rsidRPr="00A83B04">
              <w:rPr>
                <w:rFonts w:ascii="Times New Roman" w:hAnsi="Times New Roman"/>
                <w:sz w:val="20"/>
                <w:szCs w:val="20"/>
              </w:rPr>
              <w:t>2013</w:t>
            </w:r>
          </w:p>
        </w:tc>
        <w:tc>
          <w:tcPr>
            <w:tcW w:w="1374" w:type="dxa"/>
            <w:tcBorders>
              <w:top w:val="single" w:sz="4" w:space="0" w:color="auto"/>
              <w:left w:val="nil"/>
              <w:bottom w:val="single" w:sz="4" w:space="0" w:color="auto"/>
              <w:right w:val="nil"/>
            </w:tcBorders>
            <w:vAlign w:val="center"/>
          </w:tcPr>
          <w:p w:rsidR="003244A1" w:rsidRPr="00A83B04" w:rsidRDefault="003244A1" w:rsidP="003244A1">
            <w:pPr>
              <w:jc w:val="left"/>
              <w:rPr>
                <w:rFonts w:ascii="Times New Roman" w:hAnsi="Times New Roman"/>
                <w:sz w:val="20"/>
                <w:szCs w:val="20"/>
              </w:rPr>
            </w:pPr>
            <w:r w:rsidRPr="00A83B04">
              <w:rPr>
                <w:rFonts w:ascii="Times New Roman" w:hAnsi="Times New Roman"/>
                <w:sz w:val="20"/>
                <w:szCs w:val="20"/>
              </w:rPr>
              <w:t>2014</w:t>
            </w:r>
          </w:p>
        </w:tc>
      </w:tr>
      <w:tr w:rsidR="003244A1" w:rsidRPr="00A83B04" w:rsidTr="003244A1">
        <w:trPr>
          <w:trHeight w:val="315"/>
        </w:trPr>
        <w:tc>
          <w:tcPr>
            <w:tcW w:w="4962" w:type="dxa"/>
            <w:tcBorders>
              <w:top w:val="nil"/>
              <w:left w:val="nil"/>
              <w:bottom w:val="nil"/>
              <w:right w:val="nil"/>
            </w:tcBorders>
            <w:vAlign w:val="center"/>
          </w:tcPr>
          <w:p w:rsidR="003244A1" w:rsidRPr="00A83B04" w:rsidRDefault="003244A1" w:rsidP="003244A1">
            <w:pPr>
              <w:jc w:val="left"/>
              <w:rPr>
                <w:rFonts w:ascii="Times New Roman" w:hAnsi="Times New Roman"/>
                <w:sz w:val="20"/>
                <w:szCs w:val="20"/>
              </w:rPr>
            </w:pPr>
            <w:r w:rsidRPr="00A83B04">
              <w:rPr>
                <w:rFonts w:ascii="Times New Roman" w:hAnsi="Times New Roman"/>
                <w:sz w:val="20"/>
                <w:szCs w:val="20"/>
              </w:rPr>
              <w:t>Fit Function</w:t>
            </w:r>
          </w:p>
        </w:tc>
        <w:tc>
          <w:tcPr>
            <w:tcW w:w="1374" w:type="dxa"/>
            <w:tcBorders>
              <w:top w:val="nil"/>
              <w:left w:val="nil"/>
              <w:bottom w:val="nil"/>
              <w:right w:val="nil"/>
            </w:tcBorders>
            <w:vAlign w:val="center"/>
          </w:tcPr>
          <w:p w:rsidR="003244A1" w:rsidRPr="00A83B04" w:rsidRDefault="003244A1" w:rsidP="003244A1">
            <w:pPr>
              <w:jc w:val="left"/>
              <w:rPr>
                <w:rFonts w:ascii="Times New Roman" w:hAnsi="Times New Roman"/>
                <w:sz w:val="20"/>
                <w:szCs w:val="20"/>
              </w:rPr>
            </w:pPr>
            <w:r w:rsidRPr="00A83B04">
              <w:rPr>
                <w:rFonts w:ascii="Times New Roman" w:hAnsi="Times New Roman"/>
                <w:sz w:val="20"/>
                <w:szCs w:val="20"/>
              </w:rPr>
              <w:t>2.0834</w:t>
            </w:r>
          </w:p>
        </w:tc>
        <w:tc>
          <w:tcPr>
            <w:tcW w:w="1374" w:type="dxa"/>
            <w:tcBorders>
              <w:top w:val="nil"/>
              <w:left w:val="nil"/>
              <w:bottom w:val="nil"/>
              <w:right w:val="nil"/>
            </w:tcBorders>
            <w:vAlign w:val="center"/>
          </w:tcPr>
          <w:p w:rsidR="003244A1" w:rsidRPr="00A83B04" w:rsidRDefault="003244A1" w:rsidP="003244A1">
            <w:pPr>
              <w:jc w:val="left"/>
              <w:rPr>
                <w:rFonts w:ascii="Times New Roman" w:hAnsi="Times New Roman"/>
                <w:sz w:val="20"/>
                <w:szCs w:val="20"/>
              </w:rPr>
            </w:pPr>
            <w:r w:rsidRPr="00A83B04">
              <w:rPr>
                <w:rFonts w:ascii="Times New Roman" w:hAnsi="Times New Roman"/>
                <w:sz w:val="20"/>
                <w:szCs w:val="20"/>
              </w:rPr>
              <w:t>2.5286</w:t>
            </w:r>
          </w:p>
        </w:tc>
      </w:tr>
      <w:tr w:rsidR="003244A1" w:rsidRPr="00A83B04" w:rsidTr="003244A1">
        <w:trPr>
          <w:trHeight w:val="315"/>
        </w:trPr>
        <w:tc>
          <w:tcPr>
            <w:tcW w:w="4962" w:type="dxa"/>
            <w:tcBorders>
              <w:top w:val="nil"/>
              <w:left w:val="nil"/>
              <w:bottom w:val="nil"/>
              <w:right w:val="nil"/>
            </w:tcBorders>
            <w:vAlign w:val="center"/>
          </w:tcPr>
          <w:p w:rsidR="003244A1" w:rsidRPr="00A83B04" w:rsidRDefault="003244A1" w:rsidP="003244A1">
            <w:pPr>
              <w:jc w:val="left"/>
              <w:rPr>
                <w:rFonts w:ascii="Times New Roman" w:hAnsi="Times New Roman"/>
                <w:sz w:val="20"/>
                <w:szCs w:val="20"/>
              </w:rPr>
            </w:pPr>
            <w:r w:rsidRPr="00A83B04">
              <w:rPr>
                <w:rFonts w:ascii="Times New Roman" w:hAnsi="Times New Roman"/>
                <w:sz w:val="20"/>
                <w:szCs w:val="20"/>
              </w:rPr>
              <w:t>Chi-Square</w:t>
            </w:r>
          </w:p>
        </w:tc>
        <w:tc>
          <w:tcPr>
            <w:tcW w:w="1374" w:type="dxa"/>
            <w:tcBorders>
              <w:top w:val="nil"/>
              <w:left w:val="nil"/>
              <w:bottom w:val="nil"/>
              <w:right w:val="nil"/>
            </w:tcBorders>
            <w:vAlign w:val="center"/>
          </w:tcPr>
          <w:p w:rsidR="003244A1" w:rsidRPr="00A83B04" w:rsidRDefault="003244A1" w:rsidP="003244A1">
            <w:pPr>
              <w:jc w:val="left"/>
              <w:rPr>
                <w:rFonts w:ascii="Times New Roman" w:hAnsi="Times New Roman"/>
                <w:sz w:val="20"/>
                <w:szCs w:val="20"/>
              </w:rPr>
            </w:pPr>
            <w:r w:rsidRPr="00A83B04">
              <w:rPr>
                <w:rFonts w:ascii="Times New Roman" w:hAnsi="Times New Roman"/>
                <w:sz w:val="20"/>
                <w:szCs w:val="20"/>
              </w:rPr>
              <w:t>11600.4911</w:t>
            </w:r>
          </w:p>
        </w:tc>
        <w:tc>
          <w:tcPr>
            <w:tcW w:w="1374" w:type="dxa"/>
            <w:tcBorders>
              <w:top w:val="nil"/>
              <w:left w:val="nil"/>
              <w:bottom w:val="nil"/>
              <w:right w:val="nil"/>
            </w:tcBorders>
            <w:vAlign w:val="center"/>
          </w:tcPr>
          <w:p w:rsidR="003244A1" w:rsidRPr="00A83B04" w:rsidRDefault="003244A1" w:rsidP="003244A1">
            <w:pPr>
              <w:jc w:val="left"/>
              <w:rPr>
                <w:rFonts w:ascii="Times New Roman" w:hAnsi="Times New Roman"/>
                <w:sz w:val="20"/>
                <w:szCs w:val="20"/>
              </w:rPr>
            </w:pPr>
            <w:r w:rsidRPr="00A83B04">
              <w:rPr>
                <w:rFonts w:ascii="Times New Roman" w:hAnsi="Times New Roman"/>
                <w:sz w:val="20"/>
                <w:szCs w:val="20"/>
              </w:rPr>
              <w:t>4943.4992</w:t>
            </w:r>
          </w:p>
        </w:tc>
      </w:tr>
      <w:tr w:rsidR="003244A1" w:rsidRPr="00A83B04" w:rsidTr="003244A1">
        <w:trPr>
          <w:trHeight w:val="315"/>
        </w:trPr>
        <w:tc>
          <w:tcPr>
            <w:tcW w:w="4962" w:type="dxa"/>
            <w:tcBorders>
              <w:top w:val="nil"/>
              <w:left w:val="nil"/>
              <w:bottom w:val="nil"/>
              <w:right w:val="nil"/>
            </w:tcBorders>
            <w:vAlign w:val="center"/>
          </w:tcPr>
          <w:p w:rsidR="003244A1" w:rsidRPr="00A83B04" w:rsidRDefault="003244A1" w:rsidP="003244A1">
            <w:pPr>
              <w:jc w:val="left"/>
              <w:rPr>
                <w:rFonts w:ascii="Times New Roman" w:hAnsi="Times New Roman"/>
                <w:sz w:val="20"/>
                <w:szCs w:val="20"/>
              </w:rPr>
            </w:pPr>
            <w:r w:rsidRPr="00A83B04">
              <w:rPr>
                <w:rFonts w:ascii="Times New Roman" w:hAnsi="Times New Roman"/>
                <w:sz w:val="20"/>
                <w:szCs w:val="20"/>
              </w:rPr>
              <w:t>Chi-Square DF</w:t>
            </w:r>
          </w:p>
        </w:tc>
        <w:tc>
          <w:tcPr>
            <w:tcW w:w="1374" w:type="dxa"/>
            <w:tcBorders>
              <w:top w:val="nil"/>
              <w:left w:val="nil"/>
              <w:bottom w:val="nil"/>
              <w:right w:val="nil"/>
            </w:tcBorders>
            <w:vAlign w:val="center"/>
          </w:tcPr>
          <w:p w:rsidR="003244A1" w:rsidRPr="00A83B04" w:rsidRDefault="003244A1" w:rsidP="003244A1">
            <w:pPr>
              <w:jc w:val="left"/>
              <w:rPr>
                <w:rFonts w:ascii="Times New Roman" w:hAnsi="Times New Roman"/>
                <w:sz w:val="20"/>
                <w:szCs w:val="20"/>
              </w:rPr>
            </w:pPr>
            <w:r w:rsidRPr="00A83B04">
              <w:rPr>
                <w:rFonts w:ascii="Times New Roman" w:hAnsi="Times New Roman"/>
                <w:sz w:val="20"/>
                <w:szCs w:val="20"/>
              </w:rPr>
              <w:t>771</w:t>
            </w:r>
          </w:p>
        </w:tc>
        <w:tc>
          <w:tcPr>
            <w:tcW w:w="1374" w:type="dxa"/>
            <w:tcBorders>
              <w:top w:val="nil"/>
              <w:left w:val="nil"/>
              <w:bottom w:val="nil"/>
              <w:right w:val="nil"/>
            </w:tcBorders>
            <w:vAlign w:val="center"/>
          </w:tcPr>
          <w:p w:rsidR="003244A1" w:rsidRPr="00A83B04" w:rsidRDefault="003244A1" w:rsidP="003244A1">
            <w:pPr>
              <w:jc w:val="left"/>
              <w:rPr>
                <w:rFonts w:ascii="Times New Roman" w:hAnsi="Times New Roman"/>
                <w:sz w:val="20"/>
                <w:szCs w:val="20"/>
              </w:rPr>
            </w:pPr>
            <w:r w:rsidRPr="00A83B04">
              <w:rPr>
                <w:rFonts w:ascii="Times New Roman" w:hAnsi="Times New Roman"/>
                <w:sz w:val="20"/>
                <w:szCs w:val="20"/>
              </w:rPr>
              <w:t>661</w:t>
            </w:r>
          </w:p>
        </w:tc>
      </w:tr>
      <w:tr w:rsidR="003244A1" w:rsidRPr="00A83B04" w:rsidTr="003244A1">
        <w:trPr>
          <w:trHeight w:val="315"/>
        </w:trPr>
        <w:tc>
          <w:tcPr>
            <w:tcW w:w="4962" w:type="dxa"/>
            <w:tcBorders>
              <w:top w:val="nil"/>
              <w:left w:val="nil"/>
              <w:bottom w:val="nil"/>
              <w:right w:val="nil"/>
            </w:tcBorders>
            <w:vAlign w:val="center"/>
          </w:tcPr>
          <w:p w:rsidR="003244A1" w:rsidRPr="00A83B04" w:rsidRDefault="003244A1" w:rsidP="003244A1">
            <w:pPr>
              <w:jc w:val="left"/>
              <w:rPr>
                <w:rFonts w:ascii="Times New Roman" w:hAnsi="Times New Roman"/>
                <w:sz w:val="20"/>
                <w:szCs w:val="20"/>
              </w:rPr>
            </w:pPr>
            <w:r w:rsidRPr="00A83B04">
              <w:rPr>
                <w:rFonts w:ascii="Times New Roman" w:hAnsi="Times New Roman"/>
                <w:sz w:val="20"/>
                <w:szCs w:val="20"/>
              </w:rPr>
              <w:t>χ</w:t>
            </w:r>
            <w:r w:rsidRPr="00A83B04">
              <w:rPr>
                <w:rFonts w:ascii="Times New Roman" w:hAnsi="Times New Roman"/>
                <w:color w:val="000000"/>
                <w:sz w:val="20"/>
                <w:szCs w:val="20"/>
                <w:vertAlign w:val="superscript"/>
              </w:rPr>
              <w:t>2</w:t>
            </w:r>
            <w:r w:rsidRPr="00A83B04">
              <w:rPr>
                <w:rFonts w:ascii="Times New Roman" w:hAnsi="Times New Roman"/>
                <w:color w:val="000000"/>
                <w:sz w:val="20"/>
                <w:szCs w:val="20"/>
              </w:rPr>
              <w:t>/DF</w:t>
            </w:r>
          </w:p>
        </w:tc>
        <w:tc>
          <w:tcPr>
            <w:tcW w:w="1374" w:type="dxa"/>
            <w:tcBorders>
              <w:top w:val="nil"/>
              <w:left w:val="nil"/>
              <w:bottom w:val="nil"/>
              <w:right w:val="nil"/>
            </w:tcBorders>
            <w:vAlign w:val="center"/>
          </w:tcPr>
          <w:p w:rsidR="003244A1" w:rsidRPr="00A83B04" w:rsidRDefault="003244A1" w:rsidP="003244A1">
            <w:pPr>
              <w:jc w:val="left"/>
              <w:rPr>
                <w:rFonts w:ascii="Times New Roman" w:hAnsi="Times New Roman"/>
                <w:sz w:val="20"/>
                <w:szCs w:val="20"/>
              </w:rPr>
            </w:pPr>
            <w:r w:rsidRPr="00A83B04">
              <w:rPr>
                <w:rFonts w:ascii="Times New Roman" w:hAnsi="Times New Roman"/>
                <w:sz w:val="20"/>
                <w:szCs w:val="20"/>
              </w:rPr>
              <w:t xml:space="preserve">15.0460 </w:t>
            </w:r>
          </w:p>
        </w:tc>
        <w:tc>
          <w:tcPr>
            <w:tcW w:w="1374" w:type="dxa"/>
            <w:tcBorders>
              <w:top w:val="nil"/>
              <w:left w:val="nil"/>
              <w:bottom w:val="nil"/>
              <w:right w:val="nil"/>
            </w:tcBorders>
            <w:vAlign w:val="center"/>
          </w:tcPr>
          <w:p w:rsidR="003244A1" w:rsidRPr="00A83B04" w:rsidRDefault="003244A1" w:rsidP="003244A1">
            <w:pPr>
              <w:jc w:val="left"/>
              <w:rPr>
                <w:rFonts w:ascii="Times New Roman" w:hAnsi="Times New Roman"/>
                <w:sz w:val="20"/>
                <w:szCs w:val="20"/>
              </w:rPr>
            </w:pPr>
            <w:r w:rsidRPr="00A83B04">
              <w:rPr>
                <w:rFonts w:ascii="Times New Roman" w:hAnsi="Times New Roman"/>
                <w:sz w:val="20"/>
                <w:szCs w:val="20"/>
              </w:rPr>
              <w:t>7.4788</w:t>
            </w:r>
          </w:p>
        </w:tc>
      </w:tr>
      <w:tr w:rsidR="003244A1" w:rsidRPr="00A83B04" w:rsidTr="003244A1">
        <w:trPr>
          <w:trHeight w:val="315"/>
        </w:trPr>
        <w:tc>
          <w:tcPr>
            <w:tcW w:w="4962" w:type="dxa"/>
            <w:tcBorders>
              <w:top w:val="nil"/>
              <w:left w:val="nil"/>
              <w:bottom w:val="nil"/>
              <w:right w:val="nil"/>
            </w:tcBorders>
            <w:vAlign w:val="center"/>
          </w:tcPr>
          <w:p w:rsidR="003244A1" w:rsidRPr="00A83B04" w:rsidRDefault="003244A1" w:rsidP="003244A1">
            <w:pPr>
              <w:jc w:val="left"/>
              <w:rPr>
                <w:rFonts w:ascii="Times New Roman" w:hAnsi="Times New Roman"/>
                <w:sz w:val="20"/>
                <w:szCs w:val="20"/>
              </w:rPr>
            </w:pPr>
            <w:proofErr w:type="spellStart"/>
            <w:r w:rsidRPr="00A83B04">
              <w:rPr>
                <w:rFonts w:ascii="Times New Roman" w:hAnsi="Times New Roman"/>
                <w:sz w:val="20"/>
                <w:szCs w:val="20"/>
              </w:rPr>
              <w:t>Pr</w:t>
            </w:r>
            <w:proofErr w:type="spellEnd"/>
            <w:r w:rsidRPr="00A83B04">
              <w:rPr>
                <w:rFonts w:ascii="Times New Roman" w:hAnsi="Times New Roman"/>
                <w:sz w:val="20"/>
                <w:szCs w:val="20"/>
              </w:rPr>
              <w:t xml:space="preserve"> &gt; Chi-Square</w:t>
            </w:r>
          </w:p>
        </w:tc>
        <w:tc>
          <w:tcPr>
            <w:tcW w:w="1374" w:type="dxa"/>
            <w:tcBorders>
              <w:top w:val="nil"/>
              <w:left w:val="nil"/>
              <w:bottom w:val="nil"/>
              <w:right w:val="nil"/>
            </w:tcBorders>
            <w:vAlign w:val="center"/>
          </w:tcPr>
          <w:p w:rsidR="003244A1" w:rsidRPr="00A83B04" w:rsidRDefault="003244A1" w:rsidP="003244A1">
            <w:pPr>
              <w:jc w:val="left"/>
              <w:rPr>
                <w:rFonts w:ascii="Times New Roman" w:hAnsi="Times New Roman"/>
                <w:sz w:val="20"/>
                <w:szCs w:val="20"/>
              </w:rPr>
            </w:pPr>
            <w:r w:rsidRPr="00A83B04">
              <w:rPr>
                <w:rFonts w:ascii="Times New Roman" w:hAnsi="Times New Roman"/>
                <w:sz w:val="20"/>
                <w:szCs w:val="20"/>
              </w:rPr>
              <w:t>&lt;.0001</w:t>
            </w:r>
          </w:p>
        </w:tc>
        <w:tc>
          <w:tcPr>
            <w:tcW w:w="1374" w:type="dxa"/>
            <w:tcBorders>
              <w:top w:val="nil"/>
              <w:left w:val="nil"/>
              <w:bottom w:val="nil"/>
              <w:right w:val="nil"/>
            </w:tcBorders>
            <w:vAlign w:val="center"/>
          </w:tcPr>
          <w:p w:rsidR="003244A1" w:rsidRPr="00A83B04" w:rsidRDefault="003244A1" w:rsidP="003244A1">
            <w:pPr>
              <w:jc w:val="left"/>
              <w:rPr>
                <w:rFonts w:ascii="Times New Roman" w:hAnsi="Times New Roman"/>
                <w:sz w:val="20"/>
                <w:szCs w:val="20"/>
              </w:rPr>
            </w:pPr>
            <w:r w:rsidRPr="00A83B04">
              <w:rPr>
                <w:rFonts w:ascii="Times New Roman" w:hAnsi="Times New Roman"/>
                <w:sz w:val="20"/>
                <w:szCs w:val="20"/>
              </w:rPr>
              <w:t>&lt;.0001</w:t>
            </w:r>
          </w:p>
        </w:tc>
      </w:tr>
      <w:tr w:rsidR="003244A1" w:rsidRPr="00A83B04" w:rsidTr="003244A1">
        <w:trPr>
          <w:trHeight w:val="315"/>
        </w:trPr>
        <w:tc>
          <w:tcPr>
            <w:tcW w:w="4962" w:type="dxa"/>
            <w:tcBorders>
              <w:top w:val="nil"/>
              <w:left w:val="nil"/>
              <w:bottom w:val="nil"/>
              <w:right w:val="nil"/>
            </w:tcBorders>
            <w:vAlign w:val="center"/>
          </w:tcPr>
          <w:p w:rsidR="003244A1" w:rsidRPr="00A83B04" w:rsidRDefault="003244A1" w:rsidP="003244A1">
            <w:pPr>
              <w:jc w:val="left"/>
              <w:rPr>
                <w:rFonts w:ascii="Times New Roman" w:hAnsi="Times New Roman"/>
                <w:sz w:val="20"/>
                <w:szCs w:val="20"/>
              </w:rPr>
            </w:pPr>
            <w:r w:rsidRPr="00A83B04">
              <w:rPr>
                <w:rFonts w:ascii="Times New Roman" w:hAnsi="Times New Roman"/>
                <w:sz w:val="20"/>
                <w:szCs w:val="20"/>
              </w:rPr>
              <w:t>Standardized Root Mean Square Residual (SRMR)</w:t>
            </w:r>
          </w:p>
        </w:tc>
        <w:tc>
          <w:tcPr>
            <w:tcW w:w="1374" w:type="dxa"/>
            <w:tcBorders>
              <w:top w:val="nil"/>
              <w:left w:val="nil"/>
              <w:bottom w:val="nil"/>
              <w:right w:val="nil"/>
            </w:tcBorders>
            <w:vAlign w:val="center"/>
          </w:tcPr>
          <w:p w:rsidR="003244A1" w:rsidRPr="00A83B04" w:rsidRDefault="003244A1" w:rsidP="003244A1">
            <w:pPr>
              <w:jc w:val="left"/>
              <w:rPr>
                <w:rFonts w:ascii="Times New Roman" w:hAnsi="Times New Roman"/>
                <w:sz w:val="20"/>
                <w:szCs w:val="20"/>
              </w:rPr>
            </w:pPr>
            <w:r w:rsidRPr="00A83B04">
              <w:rPr>
                <w:rFonts w:ascii="Times New Roman" w:hAnsi="Times New Roman"/>
                <w:sz w:val="20"/>
                <w:szCs w:val="20"/>
              </w:rPr>
              <w:t>0.0412</w:t>
            </w:r>
          </w:p>
        </w:tc>
        <w:tc>
          <w:tcPr>
            <w:tcW w:w="1374" w:type="dxa"/>
            <w:tcBorders>
              <w:top w:val="nil"/>
              <w:left w:val="nil"/>
              <w:bottom w:val="nil"/>
              <w:right w:val="nil"/>
            </w:tcBorders>
            <w:vAlign w:val="center"/>
          </w:tcPr>
          <w:p w:rsidR="003244A1" w:rsidRPr="00A83B04" w:rsidRDefault="003244A1" w:rsidP="003244A1">
            <w:pPr>
              <w:jc w:val="left"/>
              <w:rPr>
                <w:rFonts w:ascii="Times New Roman" w:hAnsi="Times New Roman"/>
                <w:sz w:val="20"/>
                <w:szCs w:val="20"/>
              </w:rPr>
            </w:pPr>
            <w:r w:rsidRPr="00A83B04">
              <w:rPr>
                <w:rFonts w:ascii="Times New Roman" w:hAnsi="Times New Roman"/>
                <w:sz w:val="20"/>
                <w:szCs w:val="20"/>
              </w:rPr>
              <w:t>0.0346</w:t>
            </w:r>
          </w:p>
        </w:tc>
      </w:tr>
      <w:tr w:rsidR="003244A1" w:rsidRPr="00A83B04" w:rsidTr="003244A1">
        <w:trPr>
          <w:trHeight w:val="315"/>
        </w:trPr>
        <w:tc>
          <w:tcPr>
            <w:tcW w:w="4962" w:type="dxa"/>
            <w:tcBorders>
              <w:top w:val="nil"/>
              <w:left w:val="nil"/>
              <w:bottom w:val="nil"/>
              <w:right w:val="nil"/>
            </w:tcBorders>
            <w:vAlign w:val="center"/>
          </w:tcPr>
          <w:p w:rsidR="003244A1" w:rsidRPr="00A83B04" w:rsidRDefault="003244A1" w:rsidP="003244A1">
            <w:pPr>
              <w:jc w:val="left"/>
              <w:rPr>
                <w:rFonts w:ascii="Times New Roman" w:hAnsi="Times New Roman"/>
                <w:sz w:val="20"/>
                <w:szCs w:val="20"/>
              </w:rPr>
            </w:pPr>
            <w:r w:rsidRPr="00A83B04">
              <w:rPr>
                <w:rFonts w:ascii="Times New Roman" w:hAnsi="Times New Roman"/>
                <w:sz w:val="20"/>
                <w:szCs w:val="20"/>
              </w:rPr>
              <w:t>RMSEA Estimate</w:t>
            </w:r>
          </w:p>
        </w:tc>
        <w:tc>
          <w:tcPr>
            <w:tcW w:w="1374" w:type="dxa"/>
            <w:tcBorders>
              <w:top w:val="nil"/>
              <w:left w:val="nil"/>
              <w:bottom w:val="nil"/>
              <w:right w:val="nil"/>
            </w:tcBorders>
            <w:vAlign w:val="center"/>
          </w:tcPr>
          <w:p w:rsidR="003244A1" w:rsidRPr="00A83B04" w:rsidRDefault="003244A1" w:rsidP="003244A1">
            <w:pPr>
              <w:jc w:val="left"/>
              <w:rPr>
                <w:rFonts w:ascii="Times New Roman" w:hAnsi="Times New Roman"/>
                <w:sz w:val="20"/>
                <w:szCs w:val="20"/>
              </w:rPr>
            </w:pPr>
            <w:r w:rsidRPr="00A83B04">
              <w:rPr>
                <w:rFonts w:ascii="Times New Roman" w:hAnsi="Times New Roman"/>
                <w:sz w:val="20"/>
                <w:szCs w:val="20"/>
              </w:rPr>
              <w:t>0.0502</w:t>
            </w:r>
          </w:p>
        </w:tc>
        <w:tc>
          <w:tcPr>
            <w:tcW w:w="1374" w:type="dxa"/>
            <w:tcBorders>
              <w:top w:val="nil"/>
              <w:left w:val="nil"/>
              <w:bottom w:val="nil"/>
              <w:right w:val="nil"/>
            </w:tcBorders>
            <w:vAlign w:val="center"/>
          </w:tcPr>
          <w:p w:rsidR="003244A1" w:rsidRPr="00A83B04" w:rsidRDefault="003244A1" w:rsidP="003244A1">
            <w:pPr>
              <w:jc w:val="left"/>
              <w:rPr>
                <w:rFonts w:ascii="Times New Roman" w:hAnsi="Times New Roman"/>
                <w:sz w:val="20"/>
                <w:szCs w:val="20"/>
              </w:rPr>
            </w:pPr>
            <w:r w:rsidRPr="00A83B04">
              <w:rPr>
                <w:rFonts w:ascii="Times New Roman" w:hAnsi="Times New Roman"/>
                <w:sz w:val="20"/>
                <w:szCs w:val="20"/>
              </w:rPr>
              <w:t>0.0576</w:t>
            </w:r>
          </w:p>
        </w:tc>
      </w:tr>
      <w:tr w:rsidR="003244A1" w:rsidRPr="00A83B04" w:rsidTr="003244A1">
        <w:trPr>
          <w:trHeight w:val="315"/>
        </w:trPr>
        <w:tc>
          <w:tcPr>
            <w:tcW w:w="4962" w:type="dxa"/>
            <w:tcBorders>
              <w:top w:val="nil"/>
              <w:left w:val="nil"/>
              <w:bottom w:val="nil"/>
              <w:right w:val="nil"/>
            </w:tcBorders>
            <w:vAlign w:val="center"/>
          </w:tcPr>
          <w:p w:rsidR="003244A1" w:rsidRPr="00A83B04" w:rsidRDefault="003244A1" w:rsidP="003244A1">
            <w:pPr>
              <w:jc w:val="left"/>
              <w:rPr>
                <w:rFonts w:ascii="Times New Roman" w:hAnsi="Times New Roman"/>
                <w:sz w:val="20"/>
                <w:szCs w:val="20"/>
              </w:rPr>
            </w:pPr>
            <w:r w:rsidRPr="00A83B04">
              <w:rPr>
                <w:rFonts w:ascii="Times New Roman" w:hAnsi="Times New Roman"/>
                <w:sz w:val="20"/>
                <w:szCs w:val="20"/>
              </w:rPr>
              <w:t>RMSEA 90% Lower Confidence Limit</w:t>
            </w:r>
          </w:p>
        </w:tc>
        <w:tc>
          <w:tcPr>
            <w:tcW w:w="1374" w:type="dxa"/>
            <w:tcBorders>
              <w:top w:val="nil"/>
              <w:left w:val="nil"/>
              <w:bottom w:val="nil"/>
              <w:right w:val="nil"/>
            </w:tcBorders>
            <w:vAlign w:val="center"/>
          </w:tcPr>
          <w:p w:rsidR="003244A1" w:rsidRPr="00A83B04" w:rsidRDefault="003244A1" w:rsidP="003244A1">
            <w:pPr>
              <w:jc w:val="left"/>
              <w:rPr>
                <w:rFonts w:ascii="Times New Roman" w:hAnsi="Times New Roman"/>
                <w:sz w:val="20"/>
                <w:szCs w:val="20"/>
              </w:rPr>
            </w:pPr>
            <w:r w:rsidRPr="00A83B04">
              <w:rPr>
                <w:rFonts w:ascii="Times New Roman" w:hAnsi="Times New Roman"/>
                <w:sz w:val="20"/>
                <w:szCs w:val="20"/>
              </w:rPr>
              <w:t>0.0494</w:t>
            </w:r>
          </w:p>
        </w:tc>
        <w:tc>
          <w:tcPr>
            <w:tcW w:w="1374" w:type="dxa"/>
            <w:tcBorders>
              <w:top w:val="nil"/>
              <w:left w:val="nil"/>
              <w:bottom w:val="nil"/>
              <w:right w:val="nil"/>
            </w:tcBorders>
            <w:vAlign w:val="center"/>
          </w:tcPr>
          <w:p w:rsidR="003244A1" w:rsidRPr="00A83B04" w:rsidRDefault="003244A1" w:rsidP="003244A1">
            <w:pPr>
              <w:jc w:val="left"/>
              <w:rPr>
                <w:rFonts w:ascii="Times New Roman" w:hAnsi="Times New Roman"/>
                <w:sz w:val="20"/>
                <w:szCs w:val="20"/>
              </w:rPr>
            </w:pPr>
            <w:r w:rsidRPr="00A83B04">
              <w:rPr>
                <w:rFonts w:ascii="Times New Roman" w:hAnsi="Times New Roman"/>
                <w:sz w:val="20"/>
                <w:szCs w:val="20"/>
              </w:rPr>
              <w:t>0.0561</w:t>
            </w:r>
          </w:p>
        </w:tc>
      </w:tr>
      <w:tr w:rsidR="003244A1" w:rsidRPr="00A83B04" w:rsidTr="003244A1">
        <w:trPr>
          <w:trHeight w:val="315"/>
        </w:trPr>
        <w:tc>
          <w:tcPr>
            <w:tcW w:w="4962" w:type="dxa"/>
            <w:tcBorders>
              <w:top w:val="nil"/>
              <w:left w:val="nil"/>
              <w:bottom w:val="nil"/>
              <w:right w:val="nil"/>
            </w:tcBorders>
            <w:vAlign w:val="center"/>
          </w:tcPr>
          <w:p w:rsidR="003244A1" w:rsidRPr="00A83B04" w:rsidRDefault="003244A1" w:rsidP="003244A1">
            <w:pPr>
              <w:jc w:val="left"/>
              <w:rPr>
                <w:rFonts w:ascii="Times New Roman" w:hAnsi="Times New Roman"/>
                <w:sz w:val="20"/>
                <w:szCs w:val="20"/>
              </w:rPr>
            </w:pPr>
            <w:r w:rsidRPr="00A83B04">
              <w:rPr>
                <w:rFonts w:ascii="Times New Roman" w:hAnsi="Times New Roman"/>
                <w:sz w:val="20"/>
                <w:szCs w:val="20"/>
              </w:rPr>
              <w:t>RMSEA 90% Upper Confidence Limit</w:t>
            </w:r>
          </w:p>
        </w:tc>
        <w:tc>
          <w:tcPr>
            <w:tcW w:w="1374" w:type="dxa"/>
            <w:tcBorders>
              <w:top w:val="nil"/>
              <w:left w:val="nil"/>
              <w:bottom w:val="nil"/>
              <w:right w:val="nil"/>
            </w:tcBorders>
            <w:vAlign w:val="center"/>
          </w:tcPr>
          <w:p w:rsidR="003244A1" w:rsidRPr="00A83B04" w:rsidRDefault="003244A1" w:rsidP="003244A1">
            <w:pPr>
              <w:jc w:val="left"/>
              <w:rPr>
                <w:rFonts w:ascii="Times New Roman" w:hAnsi="Times New Roman"/>
                <w:sz w:val="20"/>
                <w:szCs w:val="20"/>
              </w:rPr>
            </w:pPr>
            <w:r w:rsidRPr="00A83B04">
              <w:rPr>
                <w:rFonts w:ascii="Times New Roman" w:hAnsi="Times New Roman"/>
                <w:sz w:val="20"/>
                <w:szCs w:val="20"/>
              </w:rPr>
              <w:t>0.0510</w:t>
            </w:r>
          </w:p>
        </w:tc>
        <w:tc>
          <w:tcPr>
            <w:tcW w:w="1374" w:type="dxa"/>
            <w:tcBorders>
              <w:top w:val="nil"/>
              <w:left w:val="nil"/>
              <w:bottom w:val="nil"/>
              <w:right w:val="nil"/>
            </w:tcBorders>
            <w:vAlign w:val="center"/>
          </w:tcPr>
          <w:p w:rsidR="003244A1" w:rsidRPr="00A83B04" w:rsidRDefault="003244A1" w:rsidP="003244A1">
            <w:pPr>
              <w:jc w:val="left"/>
              <w:rPr>
                <w:rFonts w:ascii="Times New Roman" w:hAnsi="Times New Roman"/>
                <w:sz w:val="20"/>
                <w:szCs w:val="20"/>
              </w:rPr>
            </w:pPr>
            <w:r w:rsidRPr="00A83B04">
              <w:rPr>
                <w:rFonts w:ascii="Times New Roman" w:hAnsi="Times New Roman"/>
                <w:sz w:val="20"/>
                <w:szCs w:val="20"/>
              </w:rPr>
              <w:t>0.0591</w:t>
            </w:r>
          </w:p>
        </w:tc>
      </w:tr>
      <w:tr w:rsidR="003244A1" w:rsidRPr="00A83B04" w:rsidTr="003244A1">
        <w:trPr>
          <w:trHeight w:val="315"/>
        </w:trPr>
        <w:tc>
          <w:tcPr>
            <w:tcW w:w="4962" w:type="dxa"/>
            <w:tcBorders>
              <w:top w:val="nil"/>
              <w:left w:val="nil"/>
              <w:bottom w:val="nil"/>
              <w:right w:val="nil"/>
            </w:tcBorders>
            <w:vAlign w:val="center"/>
          </w:tcPr>
          <w:p w:rsidR="003244A1" w:rsidRPr="00A83B04" w:rsidRDefault="003244A1" w:rsidP="003244A1">
            <w:pPr>
              <w:jc w:val="left"/>
              <w:rPr>
                <w:rFonts w:ascii="Times New Roman" w:hAnsi="Times New Roman"/>
                <w:sz w:val="20"/>
                <w:szCs w:val="20"/>
              </w:rPr>
            </w:pPr>
            <w:proofErr w:type="spellStart"/>
            <w:r w:rsidRPr="00A83B04">
              <w:rPr>
                <w:rFonts w:ascii="Times New Roman" w:hAnsi="Times New Roman"/>
                <w:sz w:val="20"/>
                <w:szCs w:val="20"/>
              </w:rPr>
              <w:t>Bentler's</w:t>
            </w:r>
            <w:proofErr w:type="spellEnd"/>
            <w:r w:rsidRPr="00A83B04">
              <w:rPr>
                <w:rFonts w:ascii="Times New Roman" w:hAnsi="Times New Roman"/>
                <w:sz w:val="20"/>
                <w:szCs w:val="20"/>
              </w:rPr>
              <w:t xml:space="preserve"> Comparative Fit Index (CFI)</w:t>
            </w:r>
          </w:p>
        </w:tc>
        <w:tc>
          <w:tcPr>
            <w:tcW w:w="1374" w:type="dxa"/>
            <w:tcBorders>
              <w:top w:val="nil"/>
              <w:left w:val="nil"/>
              <w:bottom w:val="nil"/>
              <w:right w:val="nil"/>
            </w:tcBorders>
            <w:vAlign w:val="center"/>
          </w:tcPr>
          <w:p w:rsidR="003244A1" w:rsidRPr="00A83B04" w:rsidRDefault="003244A1" w:rsidP="003244A1">
            <w:pPr>
              <w:jc w:val="left"/>
              <w:rPr>
                <w:rFonts w:ascii="Times New Roman" w:hAnsi="Times New Roman"/>
                <w:sz w:val="20"/>
                <w:szCs w:val="20"/>
              </w:rPr>
            </w:pPr>
            <w:r w:rsidRPr="00A83B04">
              <w:rPr>
                <w:rFonts w:ascii="Times New Roman" w:hAnsi="Times New Roman"/>
                <w:sz w:val="20"/>
                <w:szCs w:val="20"/>
              </w:rPr>
              <w:t>0.9329</w:t>
            </w:r>
          </w:p>
        </w:tc>
        <w:tc>
          <w:tcPr>
            <w:tcW w:w="1374" w:type="dxa"/>
            <w:tcBorders>
              <w:top w:val="nil"/>
              <w:left w:val="nil"/>
              <w:bottom w:val="nil"/>
              <w:right w:val="nil"/>
            </w:tcBorders>
            <w:vAlign w:val="center"/>
          </w:tcPr>
          <w:p w:rsidR="003244A1" w:rsidRPr="00A83B04" w:rsidRDefault="003244A1" w:rsidP="003244A1">
            <w:pPr>
              <w:jc w:val="left"/>
              <w:rPr>
                <w:rFonts w:ascii="Times New Roman" w:hAnsi="Times New Roman"/>
                <w:sz w:val="20"/>
                <w:szCs w:val="20"/>
              </w:rPr>
            </w:pPr>
            <w:r w:rsidRPr="00A83B04">
              <w:rPr>
                <w:rFonts w:ascii="Times New Roman" w:hAnsi="Times New Roman"/>
                <w:sz w:val="20"/>
                <w:szCs w:val="20"/>
              </w:rPr>
              <w:t>0.9378</w:t>
            </w:r>
          </w:p>
        </w:tc>
      </w:tr>
      <w:tr w:rsidR="003244A1" w:rsidRPr="00A83B04" w:rsidTr="003244A1">
        <w:trPr>
          <w:trHeight w:val="315"/>
        </w:trPr>
        <w:tc>
          <w:tcPr>
            <w:tcW w:w="4962" w:type="dxa"/>
            <w:tcBorders>
              <w:top w:val="nil"/>
              <w:left w:val="nil"/>
              <w:bottom w:val="single" w:sz="4" w:space="0" w:color="auto"/>
              <w:right w:val="nil"/>
            </w:tcBorders>
            <w:vAlign w:val="center"/>
          </w:tcPr>
          <w:p w:rsidR="003244A1" w:rsidRPr="00A83B04" w:rsidRDefault="003244A1" w:rsidP="003244A1">
            <w:pPr>
              <w:jc w:val="left"/>
              <w:rPr>
                <w:rFonts w:ascii="Times New Roman" w:hAnsi="Times New Roman"/>
                <w:sz w:val="20"/>
                <w:szCs w:val="20"/>
              </w:rPr>
            </w:pPr>
            <w:r w:rsidRPr="00A83B04">
              <w:rPr>
                <w:rFonts w:ascii="Times New Roman" w:hAnsi="Times New Roman"/>
                <w:sz w:val="20"/>
                <w:szCs w:val="20"/>
              </w:rPr>
              <w:t xml:space="preserve">James, </w:t>
            </w:r>
            <w:proofErr w:type="spellStart"/>
            <w:r w:rsidRPr="00A83B04">
              <w:rPr>
                <w:rFonts w:ascii="Times New Roman" w:hAnsi="Times New Roman"/>
                <w:sz w:val="20"/>
                <w:szCs w:val="20"/>
              </w:rPr>
              <w:t>Mulaik</w:t>
            </w:r>
            <w:proofErr w:type="spellEnd"/>
            <w:r w:rsidRPr="00A83B04">
              <w:rPr>
                <w:rFonts w:ascii="Times New Roman" w:hAnsi="Times New Roman"/>
                <w:sz w:val="20"/>
                <w:szCs w:val="20"/>
              </w:rPr>
              <w:t>, &amp; Brett (1982) Parsimonious NFI (PNFI)</w:t>
            </w:r>
          </w:p>
        </w:tc>
        <w:tc>
          <w:tcPr>
            <w:tcW w:w="1374" w:type="dxa"/>
            <w:tcBorders>
              <w:top w:val="nil"/>
              <w:left w:val="nil"/>
              <w:bottom w:val="single" w:sz="4" w:space="0" w:color="auto"/>
              <w:right w:val="nil"/>
            </w:tcBorders>
            <w:vAlign w:val="center"/>
          </w:tcPr>
          <w:p w:rsidR="003244A1" w:rsidRPr="00A83B04" w:rsidRDefault="003244A1" w:rsidP="003244A1">
            <w:pPr>
              <w:jc w:val="left"/>
              <w:rPr>
                <w:rFonts w:ascii="Times New Roman" w:hAnsi="Times New Roman"/>
                <w:sz w:val="20"/>
                <w:szCs w:val="20"/>
              </w:rPr>
            </w:pPr>
            <w:r w:rsidRPr="00A83B04">
              <w:rPr>
                <w:rFonts w:ascii="Times New Roman" w:hAnsi="Times New Roman"/>
                <w:sz w:val="20"/>
                <w:szCs w:val="20"/>
              </w:rPr>
              <w:t>0.8730</w:t>
            </w:r>
          </w:p>
        </w:tc>
        <w:tc>
          <w:tcPr>
            <w:tcW w:w="1374" w:type="dxa"/>
            <w:tcBorders>
              <w:top w:val="nil"/>
              <w:left w:val="nil"/>
              <w:bottom w:val="single" w:sz="4" w:space="0" w:color="auto"/>
              <w:right w:val="nil"/>
            </w:tcBorders>
            <w:vAlign w:val="center"/>
          </w:tcPr>
          <w:p w:rsidR="003244A1" w:rsidRPr="00A83B04" w:rsidRDefault="003244A1" w:rsidP="003244A1">
            <w:pPr>
              <w:jc w:val="left"/>
              <w:rPr>
                <w:rFonts w:ascii="Times New Roman" w:hAnsi="Times New Roman"/>
                <w:sz w:val="20"/>
                <w:szCs w:val="20"/>
              </w:rPr>
            </w:pPr>
            <w:r w:rsidRPr="00A83B04">
              <w:rPr>
                <w:rFonts w:ascii="Times New Roman" w:hAnsi="Times New Roman"/>
                <w:sz w:val="20"/>
                <w:szCs w:val="20"/>
              </w:rPr>
              <w:t>0.8734</w:t>
            </w:r>
          </w:p>
        </w:tc>
      </w:tr>
    </w:tbl>
    <w:p w:rsidR="003244A1" w:rsidRDefault="003244A1" w:rsidP="003244A1">
      <w:pPr>
        <w:spacing w:line="360" w:lineRule="auto"/>
        <w:jc w:val="left"/>
        <w:rPr>
          <w:color w:val="000000"/>
        </w:rPr>
      </w:pPr>
    </w:p>
    <w:p w:rsidR="003244A1" w:rsidRDefault="003244A1" w:rsidP="003244A1">
      <w:pPr>
        <w:spacing w:line="360" w:lineRule="auto"/>
        <w:jc w:val="left"/>
        <w:rPr>
          <w:color w:val="000000"/>
        </w:rPr>
      </w:pPr>
      <w:r w:rsidRPr="003244A1">
        <w:rPr>
          <w:rFonts w:hint="eastAsia"/>
        </w:rPr>
        <w:t>Table</w:t>
      </w:r>
      <w:r w:rsidRPr="003244A1">
        <w:t xml:space="preserve"> 2</w:t>
      </w:r>
      <w:r>
        <w:t xml:space="preserve">. </w:t>
      </w:r>
      <w:r w:rsidRPr="003244A1">
        <w:rPr>
          <w:rFonts w:hint="eastAsia"/>
          <w:color w:val="000000"/>
        </w:rPr>
        <w:t>I</w:t>
      </w:r>
      <w:r w:rsidRPr="003244A1">
        <w:rPr>
          <w:color w:val="000000"/>
        </w:rPr>
        <w:t>nternal validity</w:t>
      </w:r>
      <w:r>
        <w:rPr>
          <w:color w:val="000000"/>
        </w:rPr>
        <w:t xml:space="preserve"> measures</w:t>
      </w:r>
    </w:p>
    <w:tbl>
      <w:tblPr>
        <w:tblW w:w="0" w:type="auto"/>
        <w:tblLayout w:type="fixed"/>
        <w:tblLook w:val="0000" w:firstRow="0" w:lastRow="0" w:firstColumn="0" w:lastColumn="0" w:noHBand="0" w:noVBand="0"/>
      </w:tblPr>
      <w:tblGrid>
        <w:gridCol w:w="4536"/>
        <w:gridCol w:w="1134"/>
        <w:gridCol w:w="993"/>
      </w:tblGrid>
      <w:tr w:rsidR="003244A1" w:rsidRPr="0079055D" w:rsidTr="003244A1">
        <w:trPr>
          <w:trHeight w:val="315"/>
        </w:trPr>
        <w:tc>
          <w:tcPr>
            <w:tcW w:w="4536" w:type="dxa"/>
            <w:vMerge w:val="restart"/>
            <w:tcBorders>
              <w:top w:val="single" w:sz="4" w:space="0" w:color="auto"/>
              <w:left w:val="nil"/>
              <w:right w:val="nil"/>
            </w:tcBorders>
            <w:vAlign w:val="center"/>
          </w:tcPr>
          <w:p w:rsidR="003244A1" w:rsidRPr="0079055D" w:rsidRDefault="003244A1" w:rsidP="003244A1">
            <w:pPr>
              <w:jc w:val="left"/>
              <w:rPr>
                <w:rFonts w:ascii="Times New Roman" w:hAnsi="Times New Roman"/>
                <w:sz w:val="20"/>
                <w:szCs w:val="20"/>
              </w:rPr>
            </w:pPr>
            <w:r w:rsidRPr="0079055D">
              <w:rPr>
                <w:rFonts w:ascii="Times New Roman" w:hAnsi="Times New Roman"/>
                <w:sz w:val="20"/>
                <w:szCs w:val="20"/>
              </w:rPr>
              <w:t>Overall and Dimension</w:t>
            </w:r>
          </w:p>
        </w:tc>
        <w:tc>
          <w:tcPr>
            <w:tcW w:w="2127" w:type="dxa"/>
            <w:gridSpan w:val="2"/>
            <w:tcBorders>
              <w:top w:val="single" w:sz="4" w:space="0" w:color="auto"/>
              <w:left w:val="nil"/>
              <w:bottom w:val="single" w:sz="4" w:space="0" w:color="auto"/>
              <w:right w:val="nil"/>
            </w:tcBorders>
            <w:vAlign w:val="center"/>
          </w:tcPr>
          <w:p w:rsidR="003244A1" w:rsidRPr="0079055D" w:rsidRDefault="003244A1" w:rsidP="003244A1">
            <w:pPr>
              <w:jc w:val="left"/>
              <w:rPr>
                <w:rFonts w:ascii="Times New Roman" w:hAnsi="Times New Roman"/>
                <w:sz w:val="20"/>
                <w:szCs w:val="20"/>
              </w:rPr>
            </w:pPr>
            <w:r w:rsidRPr="0079055D">
              <w:rPr>
                <w:rFonts w:ascii="Times New Roman" w:hAnsi="Times New Roman"/>
                <w:sz w:val="20"/>
                <w:szCs w:val="20"/>
              </w:rPr>
              <w:t>Cronbach's α</w:t>
            </w:r>
          </w:p>
        </w:tc>
      </w:tr>
      <w:tr w:rsidR="003244A1" w:rsidRPr="0079055D" w:rsidTr="003244A1">
        <w:trPr>
          <w:trHeight w:val="315"/>
        </w:trPr>
        <w:tc>
          <w:tcPr>
            <w:tcW w:w="4536" w:type="dxa"/>
            <w:vMerge/>
            <w:tcBorders>
              <w:left w:val="nil"/>
              <w:right w:val="nil"/>
            </w:tcBorders>
            <w:vAlign w:val="center"/>
          </w:tcPr>
          <w:p w:rsidR="003244A1" w:rsidRPr="0079055D" w:rsidRDefault="003244A1" w:rsidP="003244A1">
            <w:pPr>
              <w:jc w:val="left"/>
              <w:rPr>
                <w:rFonts w:ascii="Times New Roman" w:hAnsi="Times New Roman"/>
                <w:color w:val="000000"/>
                <w:sz w:val="20"/>
                <w:szCs w:val="20"/>
              </w:rPr>
            </w:pPr>
          </w:p>
        </w:tc>
        <w:tc>
          <w:tcPr>
            <w:tcW w:w="1134" w:type="dxa"/>
            <w:tcBorders>
              <w:top w:val="single" w:sz="4" w:space="0" w:color="auto"/>
              <w:left w:val="nil"/>
              <w:right w:val="nil"/>
            </w:tcBorders>
            <w:vAlign w:val="center"/>
          </w:tcPr>
          <w:p w:rsidR="003244A1" w:rsidRPr="0079055D" w:rsidRDefault="003244A1" w:rsidP="003244A1">
            <w:pPr>
              <w:jc w:val="left"/>
              <w:rPr>
                <w:rFonts w:ascii="Times New Roman" w:hAnsi="Times New Roman"/>
                <w:sz w:val="20"/>
                <w:szCs w:val="20"/>
              </w:rPr>
            </w:pPr>
            <w:r w:rsidRPr="0079055D">
              <w:rPr>
                <w:rFonts w:ascii="Times New Roman" w:hAnsi="Times New Roman"/>
                <w:sz w:val="20"/>
                <w:szCs w:val="20"/>
              </w:rPr>
              <w:t>2013</w:t>
            </w:r>
          </w:p>
        </w:tc>
        <w:tc>
          <w:tcPr>
            <w:tcW w:w="993" w:type="dxa"/>
            <w:tcBorders>
              <w:top w:val="single" w:sz="4" w:space="0" w:color="auto"/>
              <w:left w:val="nil"/>
              <w:right w:val="nil"/>
            </w:tcBorders>
            <w:vAlign w:val="center"/>
          </w:tcPr>
          <w:p w:rsidR="003244A1" w:rsidRPr="0079055D" w:rsidRDefault="003244A1" w:rsidP="003244A1">
            <w:pPr>
              <w:jc w:val="left"/>
              <w:rPr>
                <w:rFonts w:ascii="Times New Roman" w:hAnsi="Times New Roman"/>
                <w:sz w:val="20"/>
                <w:szCs w:val="20"/>
              </w:rPr>
            </w:pPr>
            <w:r w:rsidRPr="0079055D">
              <w:rPr>
                <w:rFonts w:ascii="Times New Roman" w:hAnsi="Times New Roman"/>
                <w:sz w:val="20"/>
                <w:szCs w:val="20"/>
              </w:rPr>
              <w:t>2014</w:t>
            </w:r>
          </w:p>
        </w:tc>
      </w:tr>
      <w:tr w:rsidR="003244A1" w:rsidRPr="0079055D" w:rsidTr="003244A1">
        <w:trPr>
          <w:trHeight w:val="315"/>
        </w:trPr>
        <w:tc>
          <w:tcPr>
            <w:tcW w:w="4536" w:type="dxa"/>
            <w:tcBorders>
              <w:top w:val="single" w:sz="4" w:space="0" w:color="auto"/>
              <w:left w:val="nil"/>
              <w:right w:val="nil"/>
            </w:tcBorders>
            <w:vAlign w:val="center"/>
          </w:tcPr>
          <w:p w:rsidR="003244A1" w:rsidRPr="0079055D" w:rsidRDefault="003244A1" w:rsidP="003244A1">
            <w:pPr>
              <w:jc w:val="left"/>
              <w:rPr>
                <w:rFonts w:ascii="Times New Roman" w:hAnsi="Times New Roman"/>
                <w:color w:val="000000"/>
                <w:sz w:val="20"/>
                <w:szCs w:val="20"/>
              </w:rPr>
            </w:pPr>
            <w:r w:rsidRPr="0079055D">
              <w:rPr>
                <w:rFonts w:ascii="Times New Roman" w:hAnsi="Times New Roman"/>
                <w:color w:val="000000"/>
                <w:sz w:val="20"/>
                <w:szCs w:val="20"/>
              </w:rPr>
              <w:t>overall</w:t>
            </w:r>
          </w:p>
        </w:tc>
        <w:tc>
          <w:tcPr>
            <w:tcW w:w="1134" w:type="dxa"/>
            <w:tcBorders>
              <w:top w:val="single" w:sz="4" w:space="0" w:color="auto"/>
              <w:left w:val="nil"/>
              <w:right w:val="nil"/>
            </w:tcBorders>
            <w:vAlign w:val="center"/>
          </w:tcPr>
          <w:p w:rsidR="003244A1" w:rsidRPr="0079055D" w:rsidRDefault="003244A1" w:rsidP="003244A1">
            <w:pPr>
              <w:jc w:val="left"/>
              <w:rPr>
                <w:rFonts w:ascii="Times New Roman" w:hAnsi="Times New Roman"/>
                <w:sz w:val="20"/>
                <w:szCs w:val="20"/>
              </w:rPr>
            </w:pPr>
            <w:r w:rsidRPr="0079055D">
              <w:rPr>
                <w:rFonts w:ascii="Times New Roman" w:hAnsi="Times New Roman"/>
                <w:sz w:val="20"/>
                <w:szCs w:val="20"/>
              </w:rPr>
              <w:t xml:space="preserve">0.9679 </w:t>
            </w:r>
          </w:p>
        </w:tc>
        <w:tc>
          <w:tcPr>
            <w:tcW w:w="993" w:type="dxa"/>
            <w:tcBorders>
              <w:top w:val="single" w:sz="4" w:space="0" w:color="auto"/>
              <w:left w:val="nil"/>
              <w:right w:val="nil"/>
            </w:tcBorders>
            <w:vAlign w:val="center"/>
          </w:tcPr>
          <w:p w:rsidR="003244A1" w:rsidRPr="0079055D" w:rsidRDefault="003244A1" w:rsidP="003244A1">
            <w:pPr>
              <w:jc w:val="left"/>
              <w:rPr>
                <w:rFonts w:ascii="Times New Roman" w:hAnsi="Times New Roman"/>
                <w:sz w:val="20"/>
                <w:szCs w:val="20"/>
              </w:rPr>
            </w:pPr>
            <w:r w:rsidRPr="0079055D">
              <w:rPr>
                <w:rFonts w:ascii="Times New Roman" w:hAnsi="Times New Roman" w:hint="eastAsia"/>
                <w:sz w:val="20"/>
                <w:szCs w:val="20"/>
              </w:rPr>
              <w:t>0.9791</w:t>
            </w:r>
          </w:p>
        </w:tc>
      </w:tr>
      <w:tr w:rsidR="003244A1" w:rsidRPr="0079055D" w:rsidTr="003244A1">
        <w:trPr>
          <w:trHeight w:val="315"/>
        </w:trPr>
        <w:tc>
          <w:tcPr>
            <w:tcW w:w="4536" w:type="dxa"/>
            <w:tcBorders>
              <w:left w:val="nil"/>
              <w:bottom w:val="nil"/>
              <w:right w:val="nil"/>
            </w:tcBorders>
            <w:vAlign w:val="center"/>
          </w:tcPr>
          <w:p w:rsidR="003244A1" w:rsidRPr="0079055D" w:rsidRDefault="003244A1" w:rsidP="003244A1">
            <w:pPr>
              <w:jc w:val="left"/>
              <w:rPr>
                <w:rFonts w:ascii="Times New Roman" w:hAnsi="Times New Roman"/>
                <w:color w:val="000000"/>
                <w:sz w:val="20"/>
                <w:szCs w:val="20"/>
              </w:rPr>
            </w:pPr>
            <w:r w:rsidRPr="0079055D">
              <w:rPr>
                <w:rFonts w:ascii="Times New Roman" w:hAnsi="Times New Roman"/>
                <w:iCs/>
                <w:sz w:val="20"/>
                <w:szCs w:val="20"/>
              </w:rPr>
              <w:t>facilities and equipment</w:t>
            </w:r>
          </w:p>
        </w:tc>
        <w:tc>
          <w:tcPr>
            <w:tcW w:w="1134" w:type="dxa"/>
            <w:tcBorders>
              <w:left w:val="nil"/>
              <w:bottom w:val="nil"/>
              <w:right w:val="nil"/>
            </w:tcBorders>
            <w:vAlign w:val="center"/>
          </w:tcPr>
          <w:p w:rsidR="003244A1" w:rsidRPr="0079055D" w:rsidRDefault="003244A1" w:rsidP="003244A1">
            <w:pPr>
              <w:jc w:val="left"/>
              <w:rPr>
                <w:rFonts w:ascii="Times New Roman" w:hAnsi="Times New Roman"/>
                <w:sz w:val="20"/>
                <w:szCs w:val="20"/>
              </w:rPr>
            </w:pPr>
            <w:r w:rsidRPr="0079055D">
              <w:rPr>
                <w:rFonts w:ascii="Times New Roman" w:hAnsi="Times New Roman"/>
                <w:sz w:val="20"/>
                <w:szCs w:val="20"/>
              </w:rPr>
              <w:t xml:space="preserve">0.8506 </w:t>
            </w:r>
          </w:p>
        </w:tc>
        <w:tc>
          <w:tcPr>
            <w:tcW w:w="993" w:type="dxa"/>
            <w:tcBorders>
              <w:left w:val="nil"/>
              <w:bottom w:val="nil"/>
              <w:right w:val="nil"/>
            </w:tcBorders>
            <w:vAlign w:val="center"/>
          </w:tcPr>
          <w:p w:rsidR="003244A1" w:rsidRPr="0079055D" w:rsidRDefault="003244A1" w:rsidP="003244A1">
            <w:pPr>
              <w:jc w:val="left"/>
              <w:rPr>
                <w:rFonts w:ascii="Times New Roman" w:hAnsi="Times New Roman"/>
                <w:sz w:val="20"/>
                <w:szCs w:val="20"/>
              </w:rPr>
            </w:pPr>
            <w:r w:rsidRPr="0079055D">
              <w:rPr>
                <w:rFonts w:ascii="Times New Roman" w:hAnsi="Times New Roman" w:hint="eastAsia"/>
                <w:sz w:val="20"/>
                <w:szCs w:val="20"/>
              </w:rPr>
              <w:t xml:space="preserve">0.8947 </w:t>
            </w:r>
          </w:p>
        </w:tc>
      </w:tr>
      <w:tr w:rsidR="003244A1" w:rsidRPr="0079055D" w:rsidTr="003244A1">
        <w:trPr>
          <w:trHeight w:val="315"/>
        </w:trPr>
        <w:tc>
          <w:tcPr>
            <w:tcW w:w="4536" w:type="dxa"/>
            <w:tcBorders>
              <w:top w:val="nil"/>
              <w:left w:val="nil"/>
              <w:bottom w:val="nil"/>
              <w:right w:val="nil"/>
            </w:tcBorders>
            <w:vAlign w:val="center"/>
          </w:tcPr>
          <w:p w:rsidR="003244A1" w:rsidRPr="0079055D" w:rsidRDefault="003244A1" w:rsidP="003244A1">
            <w:pPr>
              <w:jc w:val="left"/>
              <w:rPr>
                <w:rFonts w:ascii="Times New Roman" w:hAnsi="Times New Roman"/>
                <w:color w:val="000000"/>
                <w:sz w:val="20"/>
                <w:szCs w:val="20"/>
              </w:rPr>
            </w:pPr>
            <w:r w:rsidRPr="0079055D">
              <w:rPr>
                <w:rFonts w:ascii="Times New Roman" w:hAnsi="Times New Roman"/>
                <w:iCs/>
                <w:sz w:val="20"/>
                <w:szCs w:val="20"/>
              </w:rPr>
              <w:t>physician services</w:t>
            </w:r>
          </w:p>
        </w:tc>
        <w:tc>
          <w:tcPr>
            <w:tcW w:w="1134" w:type="dxa"/>
            <w:tcBorders>
              <w:top w:val="nil"/>
              <w:left w:val="nil"/>
              <w:bottom w:val="nil"/>
              <w:right w:val="nil"/>
            </w:tcBorders>
            <w:vAlign w:val="center"/>
          </w:tcPr>
          <w:p w:rsidR="003244A1" w:rsidRPr="0079055D" w:rsidRDefault="003244A1" w:rsidP="003244A1">
            <w:pPr>
              <w:jc w:val="left"/>
              <w:rPr>
                <w:rFonts w:ascii="Times New Roman" w:hAnsi="Times New Roman"/>
                <w:sz w:val="20"/>
                <w:szCs w:val="20"/>
              </w:rPr>
            </w:pPr>
            <w:r w:rsidRPr="0079055D">
              <w:rPr>
                <w:rFonts w:ascii="Times New Roman" w:hAnsi="Times New Roman"/>
                <w:sz w:val="20"/>
                <w:szCs w:val="20"/>
              </w:rPr>
              <w:t xml:space="preserve">0.9627 </w:t>
            </w:r>
          </w:p>
        </w:tc>
        <w:tc>
          <w:tcPr>
            <w:tcW w:w="993" w:type="dxa"/>
            <w:tcBorders>
              <w:top w:val="nil"/>
              <w:left w:val="nil"/>
              <w:bottom w:val="nil"/>
              <w:right w:val="nil"/>
            </w:tcBorders>
            <w:vAlign w:val="center"/>
          </w:tcPr>
          <w:p w:rsidR="003244A1" w:rsidRPr="0079055D" w:rsidRDefault="003244A1" w:rsidP="003244A1">
            <w:pPr>
              <w:jc w:val="left"/>
              <w:rPr>
                <w:rFonts w:ascii="Times New Roman" w:hAnsi="Times New Roman"/>
                <w:sz w:val="20"/>
                <w:szCs w:val="20"/>
              </w:rPr>
            </w:pPr>
            <w:r w:rsidRPr="0079055D">
              <w:rPr>
                <w:rFonts w:ascii="Times New Roman" w:hAnsi="Times New Roman" w:hint="eastAsia"/>
                <w:sz w:val="20"/>
                <w:szCs w:val="20"/>
              </w:rPr>
              <w:t xml:space="preserve">0.9694 </w:t>
            </w:r>
          </w:p>
        </w:tc>
      </w:tr>
      <w:tr w:rsidR="003244A1" w:rsidRPr="0079055D" w:rsidTr="003244A1">
        <w:trPr>
          <w:trHeight w:val="315"/>
        </w:trPr>
        <w:tc>
          <w:tcPr>
            <w:tcW w:w="4536" w:type="dxa"/>
            <w:tcBorders>
              <w:top w:val="nil"/>
              <w:left w:val="nil"/>
              <w:bottom w:val="nil"/>
              <w:right w:val="nil"/>
            </w:tcBorders>
            <w:vAlign w:val="center"/>
          </w:tcPr>
          <w:p w:rsidR="003244A1" w:rsidRPr="0079055D" w:rsidRDefault="003244A1" w:rsidP="003244A1">
            <w:pPr>
              <w:jc w:val="left"/>
              <w:rPr>
                <w:rFonts w:ascii="Times New Roman" w:hAnsi="Times New Roman"/>
                <w:color w:val="000000"/>
                <w:sz w:val="20"/>
                <w:szCs w:val="20"/>
              </w:rPr>
            </w:pPr>
            <w:r w:rsidRPr="0079055D">
              <w:rPr>
                <w:rFonts w:ascii="Times New Roman" w:hAnsi="Times New Roman"/>
                <w:iCs/>
                <w:sz w:val="20"/>
                <w:szCs w:val="20"/>
              </w:rPr>
              <w:t>non-physician services</w:t>
            </w:r>
          </w:p>
        </w:tc>
        <w:tc>
          <w:tcPr>
            <w:tcW w:w="1134" w:type="dxa"/>
            <w:tcBorders>
              <w:top w:val="nil"/>
              <w:left w:val="nil"/>
              <w:bottom w:val="nil"/>
              <w:right w:val="nil"/>
            </w:tcBorders>
            <w:vAlign w:val="center"/>
          </w:tcPr>
          <w:p w:rsidR="003244A1" w:rsidRPr="0079055D" w:rsidRDefault="003244A1" w:rsidP="003244A1">
            <w:pPr>
              <w:jc w:val="left"/>
              <w:rPr>
                <w:rFonts w:ascii="Times New Roman" w:hAnsi="Times New Roman"/>
                <w:sz w:val="20"/>
                <w:szCs w:val="20"/>
              </w:rPr>
            </w:pPr>
            <w:r w:rsidRPr="0079055D">
              <w:rPr>
                <w:rFonts w:ascii="Times New Roman" w:hAnsi="Times New Roman"/>
                <w:sz w:val="20"/>
                <w:szCs w:val="20"/>
              </w:rPr>
              <w:t>0.8959</w:t>
            </w:r>
          </w:p>
        </w:tc>
        <w:tc>
          <w:tcPr>
            <w:tcW w:w="993" w:type="dxa"/>
            <w:tcBorders>
              <w:top w:val="nil"/>
              <w:left w:val="nil"/>
              <w:bottom w:val="nil"/>
              <w:right w:val="nil"/>
            </w:tcBorders>
            <w:vAlign w:val="center"/>
          </w:tcPr>
          <w:p w:rsidR="003244A1" w:rsidRPr="0079055D" w:rsidRDefault="003244A1" w:rsidP="003244A1">
            <w:pPr>
              <w:jc w:val="left"/>
              <w:rPr>
                <w:rFonts w:ascii="Times New Roman" w:hAnsi="Times New Roman"/>
                <w:sz w:val="20"/>
                <w:szCs w:val="20"/>
              </w:rPr>
            </w:pPr>
            <w:r w:rsidRPr="0079055D">
              <w:rPr>
                <w:rFonts w:ascii="Times New Roman" w:hAnsi="Times New Roman" w:hint="eastAsia"/>
                <w:sz w:val="20"/>
                <w:szCs w:val="20"/>
              </w:rPr>
              <w:t>0.9492</w:t>
            </w:r>
          </w:p>
        </w:tc>
      </w:tr>
      <w:tr w:rsidR="003244A1" w:rsidRPr="0079055D" w:rsidTr="003244A1">
        <w:trPr>
          <w:trHeight w:val="315"/>
        </w:trPr>
        <w:tc>
          <w:tcPr>
            <w:tcW w:w="4536" w:type="dxa"/>
            <w:tcBorders>
              <w:top w:val="nil"/>
              <w:left w:val="nil"/>
              <w:bottom w:val="single" w:sz="4" w:space="0" w:color="auto"/>
              <w:right w:val="nil"/>
            </w:tcBorders>
            <w:vAlign w:val="center"/>
          </w:tcPr>
          <w:p w:rsidR="003244A1" w:rsidRPr="0079055D" w:rsidRDefault="003244A1" w:rsidP="003244A1">
            <w:pPr>
              <w:jc w:val="left"/>
              <w:rPr>
                <w:rFonts w:ascii="Times New Roman" w:hAnsi="Times New Roman"/>
                <w:color w:val="000000"/>
                <w:sz w:val="20"/>
                <w:szCs w:val="20"/>
              </w:rPr>
            </w:pPr>
            <w:r w:rsidRPr="0079055D">
              <w:rPr>
                <w:rFonts w:ascii="Times New Roman" w:hAnsi="Times New Roman"/>
                <w:iCs/>
                <w:sz w:val="20"/>
                <w:szCs w:val="20"/>
              </w:rPr>
              <w:t>ancillary processes and effectiveness</w:t>
            </w:r>
          </w:p>
        </w:tc>
        <w:tc>
          <w:tcPr>
            <w:tcW w:w="1134" w:type="dxa"/>
            <w:tcBorders>
              <w:top w:val="nil"/>
              <w:left w:val="nil"/>
              <w:bottom w:val="single" w:sz="4" w:space="0" w:color="auto"/>
              <w:right w:val="nil"/>
            </w:tcBorders>
            <w:vAlign w:val="center"/>
          </w:tcPr>
          <w:p w:rsidR="003244A1" w:rsidRPr="0079055D" w:rsidRDefault="003244A1" w:rsidP="003244A1">
            <w:pPr>
              <w:jc w:val="left"/>
              <w:rPr>
                <w:rFonts w:ascii="Times New Roman" w:hAnsi="Times New Roman"/>
                <w:sz w:val="20"/>
                <w:szCs w:val="20"/>
              </w:rPr>
            </w:pPr>
            <w:r w:rsidRPr="0079055D">
              <w:rPr>
                <w:rFonts w:ascii="Times New Roman" w:hAnsi="Times New Roman"/>
                <w:sz w:val="20"/>
                <w:szCs w:val="20"/>
              </w:rPr>
              <w:t xml:space="preserve">0.8994 </w:t>
            </w:r>
          </w:p>
        </w:tc>
        <w:tc>
          <w:tcPr>
            <w:tcW w:w="993" w:type="dxa"/>
            <w:tcBorders>
              <w:top w:val="nil"/>
              <w:left w:val="nil"/>
              <w:bottom w:val="single" w:sz="4" w:space="0" w:color="auto"/>
              <w:right w:val="nil"/>
            </w:tcBorders>
            <w:vAlign w:val="center"/>
          </w:tcPr>
          <w:p w:rsidR="003244A1" w:rsidRPr="0079055D" w:rsidRDefault="003244A1" w:rsidP="003244A1">
            <w:pPr>
              <w:jc w:val="left"/>
              <w:rPr>
                <w:rFonts w:ascii="Times New Roman" w:hAnsi="Times New Roman"/>
                <w:sz w:val="20"/>
                <w:szCs w:val="20"/>
              </w:rPr>
            </w:pPr>
            <w:r w:rsidRPr="0079055D">
              <w:rPr>
                <w:rFonts w:ascii="Times New Roman" w:hAnsi="Times New Roman" w:hint="eastAsia"/>
                <w:sz w:val="20"/>
                <w:szCs w:val="20"/>
              </w:rPr>
              <w:t xml:space="preserve">0.9260 </w:t>
            </w:r>
            <w:r w:rsidRPr="0079055D">
              <w:rPr>
                <w:rFonts w:ascii="Times New Roman" w:hAnsi="Times New Roman"/>
                <w:sz w:val="20"/>
                <w:szCs w:val="20"/>
              </w:rPr>
              <w:t xml:space="preserve"> </w:t>
            </w:r>
          </w:p>
        </w:tc>
      </w:tr>
    </w:tbl>
    <w:p w:rsidR="003244A1" w:rsidRDefault="003244A1" w:rsidP="003244A1">
      <w:pPr>
        <w:spacing w:line="360" w:lineRule="auto"/>
        <w:jc w:val="left"/>
        <w:outlineLvl w:val="0"/>
      </w:pPr>
    </w:p>
    <w:sectPr w:rsidR="003244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4C0C"/>
    <w:rsid w:val="003244A1"/>
    <w:rsid w:val="004B4C0C"/>
    <w:rsid w:val="006649BA"/>
    <w:rsid w:val="00880A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8B2C1E-7BC9-4BC9-8603-D6591DF50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4C0C"/>
    <w:pPr>
      <w:widowControl w:val="0"/>
      <w:spacing w:after="0" w:line="240" w:lineRule="auto"/>
      <w:jc w:val="both"/>
    </w:pPr>
    <w:rPr>
      <w:rFonts w:ascii="Calibri" w:eastAsia="SimSun" w:hAnsi="Calibri" w:cs="Times New Roman"/>
      <w:kern w:val="2"/>
      <w:sz w:val="21"/>
    </w:rPr>
  </w:style>
  <w:style w:type="paragraph" w:styleId="Heading1">
    <w:name w:val="heading 1"/>
    <w:basedOn w:val="Normal"/>
    <w:next w:val="Normal"/>
    <w:link w:val="Heading1Char"/>
    <w:uiPriority w:val="99"/>
    <w:qFormat/>
    <w:rsid w:val="004B4C0C"/>
    <w:pPr>
      <w:keepNext/>
      <w:keepLines/>
      <w:spacing w:before="340" w:after="330" w:line="578" w:lineRule="auto"/>
      <w:outlineLvl w:val="0"/>
    </w:pPr>
    <w:rPr>
      <w:b/>
      <w:bCs/>
      <w:kern w:val="44"/>
      <w:sz w:val="44"/>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4B4C0C"/>
    <w:rPr>
      <w:rFonts w:ascii="Calibri" w:eastAsia="SimSun" w:hAnsi="Calibri" w:cs="Times New Roman"/>
      <w:b/>
      <w:bCs/>
      <w:kern w:val="44"/>
      <w:sz w:val="44"/>
      <w:szCs w:val="44"/>
    </w:rPr>
  </w:style>
  <w:style w:type="paragraph" w:customStyle="1" w:styleId="Default">
    <w:name w:val="Default"/>
    <w:uiPriority w:val="99"/>
    <w:rsid w:val="004B4C0C"/>
    <w:pPr>
      <w:widowControl w:val="0"/>
      <w:autoSpaceDE w:val="0"/>
      <w:autoSpaceDN w:val="0"/>
      <w:adjustRightInd w:val="0"/>
      <w:spacing w:after="0" w:line="240" w:lineRule="auto"/>
    </w:pPr>
    <w:rPr>
      <w:rFonts w:ascii="Times New Roman" w:eastAsia="SimSu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246</Words>
  <Characters>1407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Weill Cornell Medical College</Company>
  <LinksUpToDate>false</LinksUpToDate>
  <CharactersWithSpaces>1650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Yuhua Bao</dc:creator>
  <cp:keywords/>
  <dc:description/>
  <cp:lastModifiedBy>Philip Jeng</cp:lastModifiedBy>
  <cp:revision>3</cp:revision>
  <dcterms:created xsi:type="dcterms:W3CDTF">2016-12-26T22:12:00Z</dcterms:created>
  <dcterms:modified xsi:type="dcterms:W3CDTF">2016-12-27T21:02:00Z</dcterms:modified>
</cp:coreProperties>
</file>