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F8429" w14:textId="77777777" w:rsidR="00A73F84" w:rsidRPr="00AF61E5" w:rsidRDefault="0053129A" w:rsidP="005124DE">
      <w:pPr>
        <w:ind w:firstLine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AF61E5">
        <w:rPr>
          <w:rFonts w:ascii="Times New Roman" w:hAnsi="Times New Roman" w:cs="Times New Roman"/>
          <w:b/>
          <w:sz w:val="28"/>
          <w:szCs w:val="24"/>
        </w:rPr>
        <w:t>Tree circumference dynamics over short time scales using automated dendrometer bands in four forests</w:t>
      </w:r>
    </w:p>
    <w:p w14:paraId="11A81351" w14:textId="1FADE699" w:rsidR="0053129A" w:rsidRDefault="0053129A" w:rsidP="005124DE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124DE">
        <w:rPr>
          <w:rFonts w:ascii="Times New Roman" w:hAnsi="Times New Roman" w:cs="Times New Roman"/>
          <w:sz w:val="24"/>
          <w:szCs w:val="24"/>
        </w:rPr>
        <w:t>Valentine Herrman</w:t>
      </w:r>
      <w:r w:rsidR="00893E98" w:rsidRPr="005124DE">
        <w:rPr>
          <w:rFonts w:ascii="Times New Roman" w:hAnsi="Times New Roman" w:cs="Times New Roman"/>
          <w:sz w:val="24"/>
          <w:szCs w:val="24"/>
        </w:rPr>
        <w:t xml:space="preserve">n, </w:t>
      </w:r>
      <w:r w:rsidRPr="005124DE">
        <w:rPr>
          <w:rFonts w:ascii="Times New Roman" w:hAnsi="Times New Roman" w:cs="Times New Roman"/>
          <w:sz w:val="24"/>
          <w:szCs w:val="24"/>
        </w:rPr>
        <w:t>Sean M. McMahon</w:t>
      </w:r>
      <w:r w:rsidR="00893E98" w:rsidRPr="005124DE">
        <w:rPr>
          <w:rFonts w:ascii="Times New Roman" w:hAnsi="Times New Roman" w:cs="Times New Roman"/>
          <w:sz w:val="24"/>
          <w:szCs w:val="24"/>
        </w:rPr>
        <w:t xml:space="preserve">, </w:t>
      </w:r>
      <w:r w:rsidRPr="005124DE">
        <w:rPr>
          <w:rFonts w:ascii="Times New Roman" w:hAnsi="Times New Roman" w:cs="Times New Roman"/>
          <w:sz w:val="24"/>
          <w:szCs w:val="24"/>
        </w:rPr>
        <w:t>Matteo Detto</w:t>
      </w:r>
      <w:r w:rsidR="00893E98" w:rsidRPr="005124DE">
        <w:rPr>
          <w:rFonts w:ascii="Times New Roman" w:hAnsi="Times New Roman" w:cs="Times New Roman"/>
          <w:sz w:val="24"/>
          <w:szCs w:val="24"/>
        </w:rPr>
        <w:t xml:space="preserve">, </w:t>
      </w:r>
      <w:r w:rsidRPr="005124DE">
        <w:rPr>
          <w:rFonts w:ascii="Times New Roman" w:hAnsi="Times New Roman" w:cs="Times New Roman"/>
          <w:sz w:val="24"/>
          <w:szCs w:val="24"/>
        </w:rPr>
        <w:t>James A. Lutz</w:t>
      </w:r>
      <w:r w:rsidR="00893E98" w:rsidRPr="005124DE">
        <w:rPr>
          <w:rFonts w:ascii="Times New Roman" w:hAnsi="Times New Roman" w:cs="Times New Roman"/>
          <w:sz w:val="24"/>
          <w:szCs w:val="24"/>
        </w:rPr>
        <w:t xml:space="preserve">, </w:t>
      </w:r>
      <w:r w:rsidRPr="005124DE">
        <w:rPr>
          <w:rFonts w:ascii="Times New Roman" w:hAnsi="Times New Roman" w:cs="Times New Roman"/>
          <w:sz w:val="24"/>
          <w:szCs w:val="24"/>
        </w:rPr>
        <w:t>Stuart J. Davies</w:t>
      </w:r>
      <w:r w:rsidR="00893E98" w:rsidRPr="005124DE">
        <w:rPr>
          <w:rFonts w:ascii="Times New Roman" w:hAnsi="Times New Roman" w:cs="Times New Roman"/>
          <w:sz w:val="24"/>
          <w:szCs w:val="24"/>
        </w:rPr>
        <w:t xml:space="preserve">, </w:t>
      </w:r>
      <w:r w:rsidRPr="005124DE">
        <w:rPr>
          <w:rFonts w:ascii="Times New Roman" w:hAnsi="Times New Roman" w:cs="Times New Roman"/>
          <w:sz w:val="24"/>
          <w:szCs w:val="24"/>
        </w:rPr>
        <w:t>Chia-Hao Chang</w:t>
      </w:r>
      <w:r w:rsidRPr="003B27FD">
        <w:rPr>
          <w:rFonts w:ascii="Times New Roman" w:hAnsi="Times New Roman" w:cs="Times New Roman"/>
          <w:sz w:val="24"/>
          <w:szCs w:val="24"/>
        </w:rPr>
        <w:t>-Yang</w:t>
      </w:r>
      <w:r w:rsidR="00893E98">
        <w:rPr>
          <w:rFonts w:ascii="Times New Roman" w:hAnsi="Times New Roman" w:cs="Times New Roman"/>
          <w:sz w:val="24"/>
          <w:szCs w:val="24"/>
        </w:rPr>
        <w:t>,</w:t>
      </w:r>
      <w:r w:rsidRPr="003B27F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B27FD">
        <w:rPr>
          <w:rFonts w:ascii="Times New Roman" w:hAnsi="Times New Roman" w:cs="Times New Roman"/>
          <w:sz w:val="24"/>
          <w:szCs w:val="24"/>
        </w:rPr>
        <w:t>Kristina J.</w:t>
      </w:r>
      <w:r w:rsidRPr="00433681">
        <w:rPr>
          <w:rFonts w:ascii="Times New Roman" w:hAnsi="Times New Roman" w:cs="Times New Roman"/>
          <w:sz w:val="24"/>
          <w:szCs w:val="24"/>
        </w:rPr>
        <w:t xml:space="preserve"> Anderson-Teixeira</w:t>
      </w:r>
    </w:p>
    <w:p w14:paraId="3CE367A9" w14:textId="7BC9F283" w:rsidR="00084F12" w:rsidRPr="00EA43CA" w:rsidRDefault="00084F12" w:rsidP="00AB38CF">
      <w:pPr>
        <w:pStyle w:val="Heading1"/>
      </w:pPr>
      <w:bookmarkStart w:id="0" w:name="_Toc335582612"/>
      <w:r w:rsidRPr="00EA43CA">
        <w:t>S</w:t>
      </w:r>
      <w:r w:rsidR="000612BA">
        <w:t>3</w:t>
      </w:r>
      <w:r w:rsidR="004C5D68" w:rsidRPr="004C5D68">
        <w:t xml:space="preserve"> </w:t>
      </w:r>
      <w:r w:rsidR="004C5D68" w:rsidRPr="00EA43CA">
        <w:t>Appendix</w:t>
      </w:r>
      <w:r w:rsidRPr="00EA43CA">
        <w:t xml:space="preserve">. </w:t>
      </w:r>
      <w:r w:rsidR="00994CB1">
        <w:t>R</w:t>
      </w:r>
      <w:r w:rsidRPr="00EA43CA">
        <w:t xml:space="preserve">elationship between </w:t>
      </w:r>
      <w:r w:rsidRPr="00EA43CA">
        <w:rPr>
          <w:i/>
        </w:rPr>
        <w:t>T</w:t>
      </w:r>
      <w:r w:rsidRPr="00EA43CA">
        <w:rPr>
          <w:i/>
          <w:vertAlign w:val="subscript"/>
        </w:rPr>
        <w:t>band</w:t>
      </w:r>
      <w:r w:rsidRPr="00EA43CA">
        <w:t xml:space="preserve"> and </w:t>
      </w:r>
      <w:r w:rsidRPr="00EA43CA">
        <w:rPr>
          <w:i/>
        </w:rPr>
        <w:t>T</w:t>
      </w:r>
      <w:r w:rsidRPr="00EA43CA">
        <w:rPr>
          <w:i/>
          <w:vertAlign w:val="subscript"/>
        </w:rPr>
        <w:t>air</w:t>
      </w:r>
      <w:r w:rsidRPr="00EA43CA">
        <w:t>.</w:t>
      </w:r>
      <w:bookmarkEnd w:id="0"/>
    </w:p>
    <w:p w14:paraId="6B5C1279" w14:textId="75E69214" w:rsidR="00E01944" w:rsidRPr="00EA43CA" w:rsidRDefault="00E01944" w:rsidP="00AD3FCE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A43CA">
        <w:rPr>
          <w:rFonts w:ascii="Times New Roman" w:hAnsi="Times New Roman" w:cs="Times New Roman"/>
          <w:sz w:val="24"/>
          <w:szCs w:val="24"/>
        </w:rPr>
        <w:t>The ensemble temperature records (</w:t>
      </w:r>
      <w:r w:rsidRPr="00EA43CA">
        <w:rPr>
          <w:rFonts w:ascii="Times New Roman" w:hAnsi="Times New Roman" w:cs="Times New Roman"/>
          <w:i/>
          <w:sz w:val="24"/>
          <w:szCs w:val="24"/>
        </w:rPr>
        <w:t>T</w:t>
      </w:r>
      <w:r w:rsidRPr="00EA43CA">
        <w:rPr>
          <w:rFonts w:ascii="Times New Roman" w:hAnsi="Times New Roman" w:cs="Times New Roman"/>
          <w:i/>
          <w:sz w:val="24"/>
          <w:szCs w:val="24"/>
          <w:vertAlign w:val="subscript"/>
        </w:rPr>
        <w:t>band</w:t>
      </w:r>
      <w:r w:rsidRPr="00EA43CA">
        <w:rPr>
          <w:rFonts w:ascii="Times New Roman" w:hAnsi="Times New Roman" w:cs="Times New Roman"/>
          <w:sz w:val="24"/>
          <w:szCs w:val="24"/>
        </w:rPr>
        <w:t>) of each site aligned as expected with air temperature (</w:t>
      </w:r>
      <w:r w:rsidRPr="00EA43CA">
        <w:rPr>
          <w:rFonts w:ascii="Times New Roman" w:hAnsi="Times New Roman" w:cs="Times New Roman"/>
          <w:i/>
          <w:sz w:val="24"/>
          <w:szCs w:val="24"/>
        </w:rPr>
        <w:t>T</w:t>
      </w:r>
      <w:r w:rsidRPr="00EA43CA">
        <w:rPr>
          <w:rFonts w:ascii="Times New Roman" w:hAnsi="Times New Roman" w:cs="Times New Roman"/>
          <w:i/>
          <w:sz w:val="24"/>
          <w:szCs w:val="24"/>
          <w:vertAlign w:val="subscript"/>
        </w:rPr>
        <w:t>air</w:t>
      </w:r>
      <w:r w:rsidR="007C1941">
        <w:rPr>
          <w:rFonts w:ascii="Times New Roman" w:hAnsi="Times New Roman" w:cs="Times New Roman"/>
          <w:sz w:val="24"/>
          <w:szCs w:val="24"/>
        </w:rPr>
        <w:t>)</w:t>
      </w:r>
      <w:r w:rsidRPr="00EA43CA">
        <w:rPr>
          <w:rFonts w:ascii="Times New Roman" w:hAnsi="Times New Roman" w:cs="Times New Roman"/>
          <w:sz w:val="24"/>
          <w:szCs w:val="24"/>
        </w:rPr>
        <w:t xml:space="preserve"> </w:t>
      </w:r>
      <w:r w:rsidR="007C1941" w:rsidRPr="00EA43CA">
        <w:rPr>
          <w:rFonts w:ascii="Times New Roman" w:hAnsi="Times New Roman" w:cs="Times New Roman"/>
          <w:sz w:val="24"/>
          <w:szCs w:val="24"/>
        </w:rPr>
        <w:t>measured at a nearby weather station</w:t>
      </w:r>
      <w:r w:rsidR="007C1941">
        <w:rPr>
          <w:rFonts w:ascii="Times New Roman" w:hAnsi="Times New Roman" w:cs="Times New Roman"/>
          <w:sz w:val="24"/>
          <w:szCs w:val="24"/>
        </w:rPr>
        <w:t>.</w:t>
      </w:r>
      <w:r w:rsidR="00994CB1">
        <w:rPr>
          <w:rFonts w:ascii="Times New Roman" w:hAnsi="Times New Roman" w:cs="Times New Roman"/>
          <w:sz w:val="24"/>
          <w:szCs w:val="24"/>
        </w:rPr>
        <w:t xml:space="preserve"> Based on linear regression analysis,</w:t>
      </w:r>
      <w:r w:rsidR="007C1941" w:rsidRPr="00EA43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43CA">
        <w:rPr>
          <w:rFonts w:ascii="Times New Roman" w:hAnsi="Times New Roman" w:cs="Times New Roman"/>
          <w:i/>
          <w:sz w:val="24"/>
          <w:szCs w:val="24"/>
        </w:rPr>
        <w:t>T</w:t>
      </w:r>
      <w:r w:rsidRPr="00EA43CA">
        <w:rPr>
          <w:rFonts w:ascii="Times New Roman" w:hAnsi="Times New Roman" w:cs="Times New Roman"/>
          <w:i/>
          <w:sz w:val="24"/>
          <w:szCs w:val="24"/>
          <w:vertAlign w:val="subscript"/>
        </w:rPr>
        <w:t>band</w:t>
      </w:r>
      <w:r w:rsidRPr="00EA43CA">
        <w:rPr>
          <w:rFonts w:ascii="Times New Roman" w:hAnsi="Times New Roman" w:cs="Times New Roman"/>
          <w:sz w:val="24"/>
          <w:szCs w:val="24"/>
        </w:rPr>
        <w:t xml:space="preserve"> and </w:t>
      </w:r>
      <w:r w:rsidRPr="00EA43CA">
        <w:rPr>
          <w:rFonts w:ascii="Times New Roman" w:hAnsi="Times New Roman" w:cs="Times New Roman"/>
          <w:i/>
          <w:sz w:val="24"/>
          <w:szCs w:val="24"/>
        </w:rPr>
        <w:t>T</w:t>
      </w:r>
      <w:r w:rsidRPr="00EA43CA">
        <w:rPr>
          <w:rFonts w:ascii="Times New Roman" w:hAnsi="Times New Roman" w:cs="Times New Roman"/>
          <w:i/>
          <w:sz w:val="24"/>
          <w:szCs w:val="24"/>
          <w:vertAlign w:val="subscript"/>
        </w:rPr>
        <w:t>ai</w:t>
      </w:r>
      <w:r w:rsidRPr="00EA43CA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 w:rsidRPr="00EA43CA">
        <w:rPr>
          <w:rFonts w:ascii="Times New Roman" w:hAnsi="Times New Roman" w:cs="Times New Roman"/>
          <w:sz w:val="24"/>
          <w:szCs w:val="24"/>
        </w:rPr>
        <w:t xml:space="preserve"> were closely correlated at all sites (all R</w:t>
      </w:r>
      <w:r w:rsidRPr="00EA43C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656C8">
        <w:rPr>
          <w:rFonts w:ascii="Times New Roman" w:hAnsi="Times New Roman" w:cs="Times New Roman"/>
          <w:sz w:val="24"/>
          <w:szCs w:val="24"/>
        </w:rPr>
        <w:t xml:space="preserve"> ≥ 0.74, Table S2 below</w:t>
      </w:r>
      <w:r w:rsidRPr="00EA43CA">
        <w:rPr>
          <w:rFonts w:ascii="Times New Roman" w:hAnsi="Times New Roman" w:cs="Times New Roman"/>
          <w:sz w:val="24"/>
          <w:szCs w:val="24"/>
        </w:rPr>
        <w:t xml:space="preserve">). </w:t>
      </w:r>
      <w:r w:rsidRPr="00EA43CA">
        <w:rPr>
          <w:rFonts w:ascii="Times New Roman" w:hAnsi="Times New Roman" w:cs="Times New Roman"/>
          <w:i/>
          <w:sz w:val="24"/>
          <w:szCs w:val="24"/>
        </w:rPr>
        <w:t>T</w:t>
      </w:r>
      <w:r w:rsidRPr="00EA43CA">
        <w:rPr>
          <w:rFonts w:ascii="Times New Roman" w:hAnsi="Times New Roman" w:cs="Times New Roman"/>
          <w:i/>
          <w:sz w:val="24"/>
          <w:szCs w:val="24"/>
          <w:vertAlign w:val="subscript"/>
        </w:rPr>
        <w:t>band</w:t>
      </w:r>
      <w:r w:rsidRPr="00EA43CA">
        <w:rPr>
          <w:rFonts w:ascii="Times New Roman" w:hAnsi="Times New Roman" w:cs="Times New Roman"/>
          <w:sz w:val="24"/>
          <w:szCs w:val="24"/>
        </w:rPr>
        <w:t xml:space="preserve"> had a slightly smaller daily amplitude (i.e., lower maximums and higher minimums), as is to be expected for understory environments relative to above-canopy conditions or open fields (where T</w:t>
      </w:r>
      <w:r w:rsidRPr="00EA43CA">
        <w:rPr>
          <w:rFonts w:ascii="Times New Roman" w:hAnsi="Times New Roman" w:cs="Times New Roman"/>
          <w:sz w:val="24"/>
          <w:szCs w:val="24"/>
          <w:vertAlign w:val="subscript"/>
        </w:rPr>
        <w:t>air</w:t>
      </w:r>
      <w:r w:rsidRPr="00EA43CA">
        <w:rPr>
          <w:rFonts w:ascii="Times New Roman" w:hAnsi="Times New Roman" w:cs="Times New Roman"/>
          <w:sz w:val="24"/>
          <w:szCs w:val="24"/>
        </w:rPr>
        <w:t xml:space="preserve"> w</w:t>
      </w:r>
      <w:bookmarkStart w:id="1" w:name="_GoBack"/>
      <w:bookmarkEnd w:id="1"/>
      <w:r w:rsidRPr="00EA43CA">
        <w:rPr>
          <w:rFonts w:ascii="Times New Roman" w:hAnsi="Times New Roman" w:cs="Times New Roman"/>
          <w:sz w:val="24"/>
          <w:szCs w:val="24"/>
        </w:rPr>
        <w:t xml:space="preserve">as measured). </w:t>
      </w:r>
    </w:p>
    <w:p w14:paraId="5554A15C" w14:textId="29756AA9" w:rsidR="00084F12" w:rsidRPr="007B538D" w:rsidRDefault="00084F12" w:rsidP="004656C8">
      <w:pPr>
        <w:pStyle w:val="Heading1"/>
      </w:pPr>
      <w:bookmarkStart w:id="2" w:name="_Toc335582616"/>
      <w:r w:rsidRPr="00EA43CA">
        <w:t>S</w:t>
      </w:r>
      <w:r w:rsidR="000612BA">
        <w:t>3</w:t>
      </w:r>
      <w:r w:rsidR="004C5D68" w:rsidRPr="004C5D68">
        <w:t xml:space="preserve"> </w:t>
      </w:r>
      <w:r w:rsidR="004C5D68" w:rsidRPr="00EA43CA">
        <w:t>Table</w:t>
      </w:r>
      <w:r w:rsidRPr="00EA43CA">
        <w:t xml:space="preserve">. </w:t>
      </w:r>
      <w:r w:rsidR="00665A42">
        <w:t xml:space="preserve">Comparison of </w:t>
      </w:r>
      <w:r w:rsidRPr="00EA43CA">
        <w:rPr>
          <w:i/>
        </w:rPr>
        <w:t>T</w:t>
      </w:r>
      <w:r w:rsidRPr="00EA43CA">
        <w:rPr>
          <w:i/>
          <w:vertAlign w:val="subscript"/>
        </w:rPr>
        <w:t>band</w:t>
      </w:r>
      <w:r w:rsidRPr="00EA43CA">
        <w:t xml:space="preserve"> and </w:t>
      </w:r>
      <w:r w:rsidRPr="00EA43CA">
        <w:rPr>
          <w:i/>
        </w:rPr>
        <w:t>T</w:t>
      </w:r>
      <w:r w:rsidRPr="00EA43CA">
        <w:rPr>
          <w:i/>
          <w:vertAlign w:val="subscript"/>
        </w:rPr>
        <w:t>air</w:t>
      </w:r>
      <w:r w:rsidRPr="00EA43CA">
        <w:t>.</w:t>
      </w:r>
      <w:bookmarkEnd w:id="2"/>
      <w:r w:rsidR="0098388D">
        <w:t xml:space="preserve"> </w:t>
      </w:r>
      <w:r w:rsidR="0098388D" w:rsidRPr="004656C8">
        <w:rPr>
          <w:b w:val="0"/>
        </w:rPr>
        <w:t>Reported are m</w:t>
      </w:r>
      <w:r w:rsidR="00D06D2D" w:rsidRPr="004656C8">
        <w:rPr>
          <w:b w:val="0"/>
        </w:rPr>
        <w:t xml:space="preserve">ean temperatures, differences in daily amplitudes </w:t>
      </w:r>
      <w:r w:rsidR="00AB67FD" w:rsidRPr="004656C8">
        <w:rPr>
          <w:b w:val="0"/>
        </w:rPr>
        <w:t xml:space="preserve">(amplitude of </w:t>
      </w:r>
      <w:r w:rsidR="00AB67FD" w:rsidRPr="004656C8">
        <w:rPr>
          <w:b w:val="0"/>
          <w:i/>
        </w:rPr>
        <w:t>T</w:t>
      </w:r>
      <w:r w:rsidR="00AB67FD" w:rsidRPr="004656C8">
        <w:rPr>
          <w:b w:val="0"/>
          <w:i/>
          <w:vertAlign w:val="subscript"/>
        </w:rPr>
        <w:t>air</w:t>
      </w:r>
      <w:r w:rsidR="00AB67FD" w:rsidRPr="004656C8">
        <w:rPr>
          <w:b w:val="0"/>
          <w:i/>
        </w:rPr>
        <w:t xml:space="preserve"> - </w:t>
      </w:r>
      <w:r w:rsidR="00AB67FD" w:rsidRPr="004656C8">
        <w:rPr>
          <w:b w:val="0"/>
        </w:rPr>
        <w:t xml:space="preserve">amplitude of </w:t>
      </w:r>
      <w:r w:rsidR="00AB67FD" w:rsidRPr="004656C8">
        <w:rPr>
          <w:b w:val="0"/>
          <w:i/>
        </w:rPr>
        <w:t>T</w:t>
      </w:r>
      <w:r w:rsidR="00AB67FD" w:rsidRPr="004656C8">
        <w:rPr>
          <w:b w:val="0"/>
          <w:i/>
          <w:vertAlign w:val="subscript"/>
        </w:rPr>
        <w:t>band</w:t>
      </w:r>
      <w:r w:rsidR="007B538D">
        <w:rPr>
          <w:b w:val="0"/>
        </w:rPr>
        <w:t>) and linear regression results (</w:t>
      </w:r>
      <w:r w:rsidR="007B538D" w:rsidRPr="007B538D">
        <w:rPr>
          <w:b w:val="0"/>
        </w:rPr>
        <w:t>df</w:t>
      </w:r>
      <w:r w:rsidR="007B538D" w:rsidRPr="007B538D">
        <w:rPr>
          <w:b w:val="0"/>
          <w:vertAlign w:val="subscript"/>
        </w:rPr>
        <w:t>n</w:t>
      </w:r>
      <w:r w:rsidR="007B538D">
        <w:rPr>
          <w:b w:val="0"/>
        </w:rPr>
        <w:t xml:space="preserve"> and d</w:t>
      </w:r>
      <w:r w:rsidR="007B538D" w:rsidRPr="007B538D">
        <w:rPr>
          <w:b w:val="0"/>
        </w:rPr>
        <w:t>f</w:t>
      </w:r>
      <w:r w:rsidR="007B538D" w:rsidRPr="007B538D">
        <w:rPr>
          <w:b w:val="0"/>
          <w:vertAlign w:val="subscript"/>
        </w:rPr>
        <w:t>d</w:t>
      </w:r>
      <w:r w:rsidR="007B538D">
        <w:rPr>
          <w:b w:val="0"/>
        </w:rPr>
        <w:t xml:space="preserve"> are </w:t>
      </w:r>
      <w:r w:rsidR="007B538D" w:rsidRPr="007B538D">
        <w:rPr>
          <w:b w:val="0"/>
        </w:rPr>
        <w:t>numerator and denominator degrees of freedom</w:t>
      </w:r>
      <w:r w:rsidR="007B538D">
        <w:rPr>
          <w:b w:val="0"/>
        </w:rPr>
        <w:t xml:space="preserve"> of the F statistic).</w:t>
      </w:r>
    </w:p>
    <w:tbl>
      <w:tblPr>
        <w:tblW w:w="1036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630"/>
        <w:gridCol w:w="630"/>
        <w:gridCol w:w="1080"/>
        <w:gridCol w:w="810"/>
        <w:gridCol w:w="450"/>
        <w:gridCol w:w="630"/>
        <w:gridCol w:w="540"/>
        <w:gridCol w:w="720"/>
        <w:gridCol w:w="540"/>
        <w:gridCol w:w="720"/>
        <w:gridCol w:w="720"/>
        <w:gridCol w:w="270"/>
        <w:gridCol w:w="540"/>
        <w:gridCol w:w="630"/>
        <w:gridCol w:w="720"/>
      </w:tblGrid>
      <w:tr w:rsidR="00F12CA8" w:rsidRPr="007B538D" w14:paraId="6FF6BC8F" w14:textId="77777777" w:rsidTr="007B538D">
        <w:trPr>
          <w:cantSplit/>
          <w:trHeight w:hRule="exact" w:val="325"/>
        </w:trPr>
        <w:tc>
          <w:tcPr>
            <w:tcW w:w="73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1CF6EF5D" w14:textId="77777777" w:rsidR="00F12CA8" w:rsidRPr="007B538D" w:rsidRDefault="00F12CA8" w:rsidP="00D52090">
            <w:pPr>
              <w:spacing w:after="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vAlign w:val="bottom"/>
          </w:tcPr>
          <w:p w14:paraId="4849725D" w14:textId="298944AC" w:rsidR="00F12CA8" w:rsidRPr="007B538D" w:rsidRDefault="00F12CA8" w:rsidP="00D52090">
            <w:pPr>
              <w:tabs>
                <w:tab w:val="left" w:pos="153"/>
              </w:tabs>
              <w:spacing w:after="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7B538D">
              <w:rPr>
                <w:rFonts w:ascii="Helvetica" w:hAnsi="Helvetica" w:cs="Times New Roman"/>
                <w:sz w:val="16"/>
                <w:szCs w:val="14"/>
              </w:rPr>
              <w:t xml:space="preserve">mean </w:t>
            </w:r>
            <w:r w:rsidRPr="007B538D">
              <w:rPr>
                <w:rFonts w:ascii="Helvetica" w:hAnsi="Helvetica" w:cs="Times New Roman"/>
                <w:i/>
                <w:sz w:val="16"/>
                <w:szCs w:val="14"/>
              </w:rPr>
              <w:t>T</w:t>
            </w:r>
            <w:r w:rsidRPr="007B538D">
              <w:rPr>
                <w:rFonts w:ascii="Helvetica" w:hAnsi="Helvetica" w:cs="Times New Roman"/>
                <w:i/>
                <w:sz w:val="16"/>
                <w:szCs w:val="14"/>
                <w:vertAlign w:val="subscript"/>
              </w:rPr>
              <w:t>band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nil"/>
            </w:tcBorders>
            <w:vAlign w:val="bottom"/>
          </w:tcPr>
          <w:p w14:paraId="44B540BD" w14:textId="77777777" w:rsidR="00F12CA8" w:rsidRPr="007B538D" w:rsidRDefault="00F12CA8" w:rsidP="00D52090">
            <w:pPr>
              <w:tabs>
                <w:tab w:val="left" w:pos="153"/>
              </w:tabs>
              <w:spacing w:after="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7B538D">
              <w:rPr>
                <w:rFonts w:ascii="Helvetica" w:hAnsi="Helvetica" w:cs="Times New Roman"/>
                <w:sz w:val="16"/>
                <w:szCs w:val="14"/>
              </w:rPr>
              <w:t xml:space="preserve">mean </w:t>
            </w:r>
            <w:r w:rsidRPr="007B538D">
              <w:rPr>
                <w:rFonts w:ascii="Helvetica" w:hAnsi="Helvetica" w:cs="Times New Roman"/>
                <w:i/>
                <w:sz w:val="16"/>
                <w:szCs w:val="14"/>
              </w:rPr>
              <w:t>T</w:t>
            </w:r>
            <w:r w:rsidRPr="007B538D">
              <w:rPr>
                <w:rFonts w:ascii="Helvetica" w:hAnsi="Helvetica" w:cs="Times New Roman"/>
                <w:i/>
                <w:sz w:val="16"/>
                <w:szCs w:val="14"/>
                <w:vertAlign w:val="subscript"/>
              </w:rPr>
              <w:t>air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bottom"/>
          </w:tcPr>
          <w:p w14:paraId="78815C29" w14:textId="77FFF957" w:rsidR="00F12CA8" w:rsidRPr="007B538D" w:rsidRDefault="00F12CA8" w:rsidP="00D52090">
            <w:pPr>
              <w:spacing w:after="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7B538D">
              <w:rPr>
                <w:rFonts w:ascii="Helvetica" w:hAnsi="Helvetica" w:cs="Times New Roman"/>
                <w:sz w:val="16"/>
                <w:szCs w:val="14"/>
              </w:rPr>
              <w:t xml:space="preserve">mean difference in daily amplitude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B9985E" w14:textId="77777777" w:rsidR="00F12CA8" w:rsidRPr="007B538D" w:rsidRDefault="00F12CA8" w:rsidP="00D52090">
            <w:pPr>
              <w:spacing w:after="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7B538D">
              <w:rPr>
                <w:rFonts w:ascii="Helvetica" w:hAnsi="Helvetica" w:cs="Times New Roman"/>
                <w:sz w:val="16"/>
                <w:szCs w:val="14"/>
              </w:rPr>
              <w:t>F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14:paraId="1C0B55A2" w14:textId="77777777" w:rsidR="00F12CA8" w:rsidRPr="007B538D" w:rsidRDefault="00F12CA8" w:rsidP="00D52090">
            <w:pPr>
              <w:spacing w:after="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6FBF254C" w14:textId="4887C7DD" w:rsidR="00F12CA8" w:rsidRPr="007B538D" w:rsidRDefault="00F12CA8" w:rsidP="00D52090">
            <w:pPr>
              <w:spacing w:after="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0C171136" w14:textId="4CAEFA24" w:rsidR="00F12CA8" w:rsidRPr="007B538D" w:rsidRDefault="00F12CA8" w:rsidP="00D52090">
            <w:pPr>
              <w:spacing w:after="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  <w:vertAlign w:val="superscript"/>
              </w:rPr>
            </w:pPr>
            <w:r w:rsidRPr="007B538D">
              <w:rPr>
                <w:rFonts w:ascii="Helvetica" w:hAnsi="Helvetica" w:cs="Times New Roman"/>
                <w:sz w:val="16"/>
                <w:szCs w:val="14"/>
              </w:rPr>
              <w:t>R</w:t>
            </w:r>
            <w:r w:rsidRPr="007B538D">
              <w:rPr>
                <w:rFonts w:ascii="Helvetica" w:hAnsi="Helvetica" w:cs="Times New Roman"/>
                <w:sz w:val="16"/>
                <w:szCs w:val="14"/>
                <w:vertAlign w:val="superscript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vAlign w:val="bottom"/>
          </w:tcPr>
          <w:p w14:paraId="6BFC0DE5" w14:textId="77777777" w:rsidR="00F12CA8" w:rsidRPr="007B538D" w:rsidRDefault="00F12CA8" w:rsidP="00D52090">
            <w:pPr>
              <w:spacing w:after="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7B538D">
              <w:rPr>
                <w:rFonts w:ascii="Helvetica" w:hAnsi="Helvetica" w:cs="Times New Roman"/>
                <w:sz w:val="16"/>
                <w:szCs w:val="14"/>
              </w:rPr>
              <w:t>p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right w:val="nil"/>
            </w:tcBorders>
            <w:vAlign w:val="bottom"/>
          </w:tcPr>
          <w:p w14:paraId="3FADFCC2" w14:textId="77777777" w:rsidR="00F12CA8" w:rsidRPr="007B538D" w:rsidRDefault="00F12CA8" w:rsidP="00D52090">
            <w:pPr>
              <w:spacing w:after="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7B538D">
              <w:rPr>
                <w:rFonts w:ascii="Helvetica" w:hAnsi="Helvetica" w:cs="Times New Roman"/>
                <w:sz w:val="16"/>
                <w:szCs w:val="14"/>
              </w:rPr>
              <w:t>slope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C66DFB" w14:textId="77777777" w:rsidR="00F12CA8" w:rsidRPr="007B538D" w:rsidRDefault="00F12CA8" w:rsidP="00D52090">
            <w:pPr>
              <w:spacing w:after="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75DEF2" w14:textId="77777777" w:rsidR="00F12CA8" w:rsidRPr="007B538D" w:rsidRDefault="00F12CA8" w:rsidP="00D52090">
            <w:pPr>
              <w:spacing w:after="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7B538D">
              <w:rPr>
                <w:rFonts w:ascii="Helvetica" w:hAnsi="Helvetica" w:cs="Times New Roman"/>
                <w:sz w:val="16"/>
                <w:szCs w:val="14"/>
              </w:rPr>
              <w:t>intercept</w:t>
            </w:r>
          </w:p>
        </w:tc>
      </w:tr>
      <w:tr w:rsidR="00F12CA8" w:rsidRPr="007B538D" w14:paraId="387DEAA0" w14:textId="77777777" w:rsidTr="007B538D">
        <w:trPr>
          <w:cantSplit/>
          <w:trHeight w:hRule="exact" w:val="442"/>
        </w:trPr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7ACA133" w14:textId="77777777" w:rsidR="00F12CA8" w:rsidRPr="007B538D" w:rsidRDefault="00F12CA8" w:rsidP="00D52090">
            <w:pPr>
              <w:spacing w:after="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7B538D">
              <w:rPr>
                <w:rFonts w:ascii="Helvetica" w:hAnsi="Helvetica" w:cs="Times New Roman"/>
                <w:sz w:val="16"/>
                <w:szCs w:val="14"/>
              </w:rPr>
              <w:t>Site</w:t>
            </w: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bottom"/>
          </w:tcPr>
          <w:p w14:paraId="64B1070E" w14:textId="77777777" w:rsidR="00F12CA8" w:rsidRPr="007B538D" w:rsidRDefault="00F12CA8" w:rsidP="00D52090">
            <w:pPr>
              <w:spacing w:after="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  <w:right w:val="nil"/>
            </w:tcBorders>
            <w:vAlign w:val="bottom"/>
          </w:tcPr>
          <w:p w14:paraId="766882A4" w14:textId="77777777" w:rsidR="00F12CA8" w:rsidRPr="007B538D" w:rsidRDefault="00F12CA8" w:rsidP="00D52090">
            <w:pPr>
              <w:spacing w:after="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bottom"/>
          </w:tcPr>
          <w:p w14:paraId="2268D6A0" w14:textId="77777777" w:rsidR="00F12CA8" w:rsidRPr="007B538D" w:rsidRDefault="00F12CA8" w:rsidP="00D52090">
            <w:pPr>
              <w:spacing w:after="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FE7425" w14:textId="77777777" w:rsidR="00F12CA8" w:rsidRPr="007B538D" w:rsidRDefault="00F12CA8" w:rsidP="00D52090">
            <w:pPr>
              <w:spacing w:after="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vAlign w:val="bottom"/>
          </w:tcPr>
          <w:p w14:paraId="460B0BFE" w14:textId="61083176" w:rsidR="00F12CA8" w:rsidRPr="007B538D" w:rsidRDefault="00F12CA8" w:rsidP="007B538D">
            <w:pPr>
              <w:spacing w:after="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  <w:vertAlign w:val="subscript"/>
              </w:rPr>
            </w:pPr>
            <w:r w:rsidRPr="007B538D">
              <w:rPr>
                <w:rFonts w:ascii="Helvetica" w:hAnsi="Helvetica" w:cs="Times New Roman"/>
                <w:sz w:val="16"/>
                <w:szCs w:val="14"/>
              </w:rPr>
              <w:t>df</w:t>
            </w:r>
            <w:r w:rsidRPr="007B538D">
              <w:rPr>
                <w:rFonts w:ascii="Helvetica" w:hAnsi="Helvetica" w:cs="Times New Roman"/>
                <w:sz w:val="16"/>
                <w:szCs w:val="14"/>
                <w:vertAlign w:val="subscript"/>
              </w:rPr>
              <w:t>n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bottom"/>
          </w:tcPr>
          <w:p w14:paraId="037BD6CD" w14:textId="497DA1BE" w:rsidR="00F12CA8" w:rsidRPr="007B538D" w:rsidRDefault="00F12CA8" w:rsidP="007B538D">
            <w:pPr>
              <w:spacing w:after="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  <w:vertAlign w:val="subscript"/>
              </w:rPr>
            </w:pPr>
            <w:r w:rsidRPr="007B538D">
              <w:rPr>
                <w:rFonts w:ascii="Helvetica" w:hAnsi="Helvetica" w:cs="Times New Roman"/>
                <w:sz w:val="16"/>
                <w:szCs w:val="14"/>
              </w:rPr>
              <w:t>df</w:t>
            </w:r>
            <w:r w:rsidRPr="007B538D">
              <w:rPr>
                <w:rFonts w:ascii="Helvetica" w:hAnsi="Helvetica" w:cs="Times New Roman"/>
                <w:sz w:val="16"/>
                <w:szCs w:val="14"/>
                <w:vertAlign w:val="subscript"/>
              </w:rPr>
              <w:t>d</w:t>
            </w: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14:paraId="7EBA75DF" w14:textId="1306B5DF" w:rsidR="00F12CA8" w:rsidRPr="007B538D" w:rsidRDefault="00F12CA8" w:rsidP="00D52090">
            <w:pPr>
              <w:spacing w:after="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bottom"/>
          </w:tcPr>
          <w:p w14:paraId="5248E253" w14:textId="77777777" w:rsidR="00F12CA8" w:rsidRPr="007B538D" w:rsidRDefault="00F12CA8" w:rsidP="00D52090">
            <w:pPr>
              <w:spacing w:after="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11F5CCC" w14:textId="7826FD5F" w:rsidR="00F12CA8" w:rsidRPr="007B538D" w:rsidRDefault="00F12CA8" w:rsidP="00D52090">
            <w:pPr>
              <w:spacing w:after="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7B538D">
              <w:rPr>
                <w:rFonts w:ascii="Helvetica" w:hAnsi="Helvetica" w:cs="Times New Roman"/>
                <w:sz w:val="16"/>
                <w:szCs w:val="14"/>
              </w:rPr>
              <w:t>est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37E55C" w14:textId="77777777" w:rsidR="00F12CA8" w:rsidRPr="007B538D" w:rsidRDefault="00F12CA8" w:rsidP="00D52090">
            <w:pPr>
              <w:spacing w:after="0" w:line="240" w:lineRule="auto"/>
              <w:ind w:firstLine="0"/>
              <w:jc w:val="center"/>
              <w:rPr>
                <w:rFonts w:ascii="Helvetica" w:hAnsi="Helvetica" w:cs="Times New Roman"/>
                <w:i/>
                <w:sz w:val="16"/>
                <w:szCs w:val="14"/>
              </w:rPr>
            </w:pPr>
            <w:r w:rsidRPr="007B538D">
              <w:rPr>
                <w:rFonts w:ascii="Helvetica" w:hAnsi="Helvetica" w:cs="Times New Roman"/>
                <w:i/>
                <w:sz w:val="16"/>
                <w:szCs w:val="14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66DFCC" w14:textId="6203EC94" w:rsidR="00F12CA8" w:rsidRPr="007B538D" w:rsidRDefault="00F12CA8" w:rsidP="00D52090">
            <w:pPr>
              <w:spacing w:after="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7B538D">
              <w:rPr>
                <w:rFonts w:ascii="Helvetica" w:hAnsi="Helvetica" w:cs="Times New Roman"/>
                <w:i/>
                <w:sz w:val="16"/>
                <w:szCs w:val="14"/>
              </w:rPr>
              <w:t>p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A48C19" w14:textId="77777777" w:rsidR="00F12CA8" w:rsidRPr="007B538D" w:rsidRDefault="00F12CA8" w:rsidP="00D52090">
            <w:pPr>
              <w:spacing w:after="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9F5FA4" w14:textId="131A658B" w:rsidR="00F12CA8" w:rsidRPr="007B538D" w:rsidRDefault="00F12CA8" w:rsidP="00D52090">
            <w:pPr>
              <w:spacing w:after="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7B538D">
              <w:rPr>
                <w:rFonts w:ascii="Helvetica" w:hAnsi="Helvetica" w:cs="Times New Roman"/>
                <w:sz w:val="16"/>
                <w:szCs w:val="14"/>
              </w:rPr>
              <w:t>est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24F822" w14:textId="77777777" w:rsidR="00F12CA8" w:rsidRPr="007B538D" w:rsidRDefault="00F12CA8" w:rsidP="00D52090">
            <w:pPr>
              <w:spacing w:after="0" w:line="240" w:lineRule="auto"/>
              <w:ind w:firstLine="0"/>
              <w:jc w:val="center"/>
              <w:rPr>
                <w:rFonts w:ascii="Helvetica" w:hAnsi="Helvetica" w:cs="Times New Roman"/>
                <w:i/>
                <w:sz w:val="16"/>
                <w:szCs w:val="14"/>
              </w:rPr>
            </w:pPr>
            <w:r w:rsidRPr="007B538D">
              <w:rPr>
                <w:rFonts w:ascii="Helvetica" w:hAnsi="Helvetica" w:cs="Times New Roman"/>
                <w:i/>
                <w:sz w:val="16"/>
                <w:szCs w:val="14"/>
              </w:rPr>
              <w:t>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501D39" w14:textId="1C70B25B" w:rsidR="00F12CA8" w:rsidRPr="007B538D" w:rsidRDefault="00F12CA8" w:rsidP="00D52090">
            <w:pPr>
              <w:spacing w:after="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7B538D">
              <w:rPr>
                <w:rFonts w:ascii="Helvetica" w:hAnsi="Helvetica" w:cs="Times New Roman"/>
                <w:i/>
                <w:sz w:val="16"/>
                <w:szCs w:val="14"/>
              </w:rPr>
              <w:t>p</w:t>
            </w:r>
          </w:p>
        </w:tc>
      </w:tr>
      <w:tr w:rsidR="00F12CA8" w:rsidRPr="002B573A" w14:paraId="6100C198" w14:textId="77777777" w:rsidTr="007B538D">
        <w:tc>
          <w:tcPr>
            <w:tcW w:w="73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19ECA93" w14:textId="77777777" w:rsidR="00F12CA8" w:rsidRPr="002B573A" w:rsidRDefault="00F12CA8" w:rsidP="00AD3FCE">
            <w:pPr>
              <w:spacing w:before="140" w:after="140" w:line="240" w:lineRule="auto"/>
              <w:ind w:firstLine="0"/>
              <w:jc w:val="left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SCBI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vAlign w:val="center"/>
          </w:tcPr>
          <w:p w14:paraId="53CE4A0F" w14:textId="77777777" w:rsidR="00F12CA8" w:rsidRPr="002B573A" w:rsidRDefault="00F12CA8" w:rsidP="00D52090">
            <w:pPr>
              <w:spacing w:before="140"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20.67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BFC076E" w14:textId="77777777" w:rsidR="00F12CA8" w:rsidRPr="002B573A" w:rsidRDefault="00F12CA8" w:rsidP="00D52090">
            <w:pPr>
              <w:spacing w:before="140"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21.35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EB5C29A" w14:textId="77777777" w:rsidR="00F12CA8" w:rsidRPr="002B573A" w:rsidRDefault="00F12CA8" w:rsidP="00D52090">
            <w:pPr>
              <w:spacing w:before="140"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-1.87*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F77E44" w14:textId="1EFDEC3A" w:rsidR="00F12CA8" w:rsidRPr="007B538D" w:rsidRDefault="00F12CA8" w:rsidP="00F12CA8">
            <w:pPr>
              <w:spacing w:before="140"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  <w:vertAlign w:val="superscript"/>
              </w:rPr>
            </w:pPr>
            <w:r w:rsidRPr="007B538D">
              <w:rPr>
                <w:rFonts w:ascii="Helvetica" w:hAnsi="Helvetica" w:cs="Times New Roman"/>
                <w:sz w:val="16"/>
                <w:szCs w:val="14"/>
              </w:rPr>
              <w:t>1.82 10</w:t>
            </w:r>
            <w:r w:rsidRPr="007B538D">
              <w:rPr>
                <w:rFonts w:ascii="Helvetica" w:hAnsi="Helvetica" w:cs="Times New Roman"/>
                <w:sz w:val="16"/>
                <w:szCs w:val="14"/>
                <w:vertAlign w:val="superscript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B7C7F6" w14:textId="198710AC" w:rsidR="00F12CA8" w:rsidRPr="007B538D" w:rsidRDefault="007B538D" w:rsidP="00D52090">
            <w:pPr>
              <w:spacing w:before="140"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7B538D">
              <w:rPr>
                <w:rFonts w:ascii="Helvetica" w:hAnsi="Helvetica" w:cs="Times New Roman"/>
                <w:sz w:val="16"/>
                <w:szCs w:val="1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3D7153B4" w14:textId="2783F97D" w:rsidR="00F12CA8" w:rsidRPr="002B573A" w:rsidRDefault="007B538D" w:rsidP="00D52090">
            <w:pPr>
              <w:spacing w:before="140"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>
              <w:rPr>
                <w:rFonts w:ascii="Helvetica" w:hAnsi="Helvetica" w:cs="Times New Roman"/>
                <w:sz w:val="16"/>
                <w:szCs w:val="14"/>
              </w:rPr>
              <w:t>5943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AB3B4F8" w14:textId="40EC1F16" w:rsidR="00F12CA8" w:rsidRPr="002B573A" w:rsidRDefault="00F12CA8" w:rsidP="00D52090">
            <w:pPr>
              <w:spacing w:before="140"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0.97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B3265C3" w14:textId="57F07CD7" w:rsidR="00F12CA8" w:rsidRPr="002B573A" w:rsidRDefault="00F12CA8" w:rsidP="00D52090">
            <w:pPr>
              <w:spacing w:before="140"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  <w:highlight w:val="magenta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&lt;0.001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76B13E" w14:textId="0AD32F75" w:rsidR="00F12CA8" w:rsidRPr="002B573A" w:rsidRDefault="00F12CA8" w:rsidP="00D52090">
            <w:pPr>
              <w:spacing w:before="140"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0.78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7A9BB3" w14:textId="77777777" w:rsidR="00F12CA8" w:rsidRPr="002B573A" w:rsidRDefault="00F12CA8" w:rsidP="00D52090">
            <w:pPr>
              <w:spacing w:before="140"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428.2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B3E563" w14:textId="129FFD9B" w:rsidR="00F12CA8" w:rsidRPr="002B573A" w:rsidRDefault="00F12CA8" w:rsidP="00D52090">
            <w:pPr>
              <w:spacing w:before="140"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  <w:highlight w:val="magenta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&lt;0.001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73EC1E" w14:textId="77777777" w:rsidR="00F12CA8" w:rsidRPr="002B573A" w:rsidRDefault="00F12CA8" w:rsidP="00D52090">
            <w:pPr>
              <w:spacing w:before="140"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361CFB" w14:textId="063C685A" w:rsidR="00F12CA8" w:rsidRPr="002B573A" w:rsidRDefault="00F12CA8" w:rsidP="00D52090">
            <w:pPr>
              <w:spacing w:before="140"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3.98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029A1B" w14:textId="77777777" w:rsidR="00F12CA8" w:rsidRPr="002B573A" w:rsidRDefault="00F12CA8" w:rsidP="00D52090">
            <w:pPr>
              <w:spacing w:before="140"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100.6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DEDE3D" w14:textId="22D3EBBB" w:rsidR="00F12CA8" w:rsidRPr="002B573A" w:rsidRDefault="00F12CA8" w:rsidP="00D52090">
            <w:pPr>
              <w:spacing w:before="140"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  <w:highlight w:val="magenta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&lt;0.001</w:t>
            </w:r>
          </w:p>
        </w:tc>
      </w:tr>
      <w:tr w:rsidR="00F12CA8" w:rsidRPr="002B573A" w14:paraId="01975079" w14:textId="77777777" w:rsidTr="007B538D">
        <w:tc>
          <w:tcPr>
            <w:tcW w:w="738" w:type="dxa"/>
            <w:tcBorders>
              <w:top w:val="nil"/>
              <w:bottom w:val="nil"/>
              <w:right w:val="nil"/>
            </w:tcBorders>
            <w:vAlign w:val="center"/>
          </w:tcPr>
          <w:p w14:paraId="750FD296" w14:textId="77777777" w:rsidR="00F12CA8" w:rsidRPr="002B573A" w:rsidRDefault="00F12CA8" w:rsidP="00AD3FCE">
            <w:pPr>
              <w:spacing w:after="140" w:line="240" w:lineRule="auto"/>
              <w:ind w:firstLine="0"/>
              <w:jc w:val="left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SERC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7B0EB3AF" w14:textId="77777777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23.32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14:paraId="7E102FB0" w14:textId="77777777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24.17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vAlign w:val="center"/>
          </w:tcPr>
          <w:p w14:paraId="4E028187" w14:textId="77777777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-2.60*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12FE4FE" w14:textId="23D87D44" w:rsidR="00F12CA8" w:rsidRPr="007B538D" w:rsidRDefault="00F12CA8" w:rsidP="00F12CA8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  <w:vertAlign w:val="superscript"/>
              </w:rPr>
            </w:pPr>
            <w:r w:rsidRPr="007B538D">
              <w:rPr>
                <w:rFonts w:ascii="Helvetica" w:hAnsi="Helvetica" w:cs="Times New Roman"/>
                <w:sz w:val="16"/>
                <w:szCs w:val="14"/>
              </w:rPr>
              <w:t>1.72 10</w:t>
            </w:r>
            <w:r w:rsidRPr="007B538D">
              <w:rPr>
                <w:rFonts w:ascii="Helvetica" w:hAnsi="Helvetica" w:cs="Times New Roman"/>
                <w:sz w:val="16"/>
                <w:szCs w:val="14"/>
                <w:vertAlign w:val="superscript"/>
              </w:rPr>
              <w:t>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01BFC86" w14:textId="6D9766CE" w:rsidR="00F12CA8" w:rsidRPr="007B538D" w:rsidRDefault="007B538D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7B538D">
              <w:rPr>
                <w:rFonts w:ascii="Helvetica" w:hAnsi="Helvetica" w:cs="Times New Roman"/>
                <w:sz w:val="16"/>
                <w:szCs w:val="14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349F77F2" w14:textId="0D0704EF" w:rsidR="00F12CA8" w:rsidRPr="002B573A" w:rsidRDefault="007B538D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>
              <w:rPr>
                <w:rFonts w:ascii="Helvetica" w:hAnsi="Helvetica" w:cs="Times New Roman"/>
                <w:sz w:val="16"/>
                <w:szCs w:val="14"/>
              </w:rPr>
              <w:t>5915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3570D305" w14:textId="3FA4E985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0.74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14:paraId="445C2C20" w14:textId="484269C4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  <w:highlight w:val="magenta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&lt;0.001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5A224" w14:textId="62D05E6A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0.67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A02BE" w14:textId="77777777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131.02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7E752" w14:textId="4D2E6A4B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  <w:highlight w:val="magenta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&lt;0.001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22CC0" w14:textId="77777777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942D" w14:textId="567BF480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7.20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02E56" w14:textId="77777777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57.94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E3E42" w14:textId="27AA7586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  <w:highlight w:val="magenta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&lt;0.001</w:t>
            </w:r>
          </w:p>
        </w:tc>
      </w:tr>
      <w:tr w:rsidR="00F12CA8" w:rsidRPr="002B573A" w14:paraId="42D7C0DB" w14:textId="77777777" w:rsidTr="007B538D">
        <w:tc>
          <w:tcPr>
            <w:tcW w:w="738" w:type="dxa"/>
            <w:tcBorders>
              <w:top w:val="nil"/>
              <w:bottom w:val="nil"/>
              <w:right w:val="nil"/>
            </w:tcBorders>
            <w:vAlign w:val="center"/>
          </w:tcPr>
          <w:p w14:paraId="24F6E8BB" w14:textId="1C401CE8" w:rsidR="00F12CA8" w:rsidRPr="002B573A" w:rsidRDefault="00F12CA8" w:rsidP="00AD3FCE">
            <w:pPr>
              <w:spacing w:after="140" w:line="240" w:lineRule="auto"/>
              <w:ind w:firstLine="0"/>
              <w:jc w:val="left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WFDP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2F4B1F4F" w14:textId="77777777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15.30</w:t>
            </w:r>
          </w:p>
        </w:tc>
        <w:tc>
          <w:tcPr>
            <w:tcW w:w="630" w:type="dxa"/>
            <w:tcBorders>
              <w:top w:val="nil"/>
              <w:bottom w:val="nil"/>
              <w:right w:val="nil"/>
            </w:tcBorders>
            <w:vAlign w:val="center"/>
          </w:tcPr>
          <w:p w14:paraId="6FFCE2B7" w14:textId="77777777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15.23</w:t>
            </w:r>
          </w:p>
        </w:tc>
        <w:tc>
          <w:tcPr>
            <w:tcW w:w="1080" w:type="dxa"/>
            <w:tcBorders>
              <w:top w:val="nil"/>
              <w:bottom w:val="nil"/>
              <w:right w:val="nil"/>
            </w:tcBorders>
            <w:vAlign w:val="center"/>
          </w:tcPr>
          <w:p w14:paraId="539273D6" w14:textId="77777777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-1.88*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72C9CF" w14:textId="2E559240" w:rsidR="00F12CA8" w:rsidRPr="007B538D" w:rsidRDefault="00F12CA8" w:rsidP="00F12CA8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  <w:vertAlign w:val="superscript"/>
              </w:rPr>
            </w:pPr>
            <w:r w:rsidRPr="007B538D">
              <w:rPr>
                <w:rFonts w:ascii="Helvetica" w:hAnsi="Helvetica" w:cs="Times New Roman"/>
                <w:sz w:val="16"/>
                <w:szCs w:val="14"/>
              </w:rPr>
              <w:t>5.53 10</w:t>
            </w:r>
            <w:r w:rsidRPr="007B538D">
              <w:rPr>
                <w:rFonts w:ascii="Helvetica" w:hAnsi="Helvetica" w:cs="Times New Roman"/>
                <w:sz w:val="16"/>
                <w:szCs w:val="14"/>
                <w:vertAlign w:val="superscript"/>
              </w:rPr>
              <w:t>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984B39D" w14:textId="644FE23F" w:rsidR="00F12CA8" w:rsidRPr="007B538D" w:rsidRDefault="007B538D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7B538D">
              <w:rPr>
                <w:rFonts w:ascii="Helvetica" w:hAnsi="Helvetica" w:cs="Times New Roman"/>
                <w:sz w:val="16"/>
                <w:szCs w:val="14"/>
              </w:rPr>
              <w:t>1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B0B598A" w14:textId="6154F41A" w:rsidR="00F12CA8" w:rsidRPr="002B573A" w:rsidRDefault="007B538D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>
              <w:rPr>
                <w:rFonts w:ascii="Helvetica" w:hAnsi="Helvetica" w:cs="Times New Roman"/>
                <w:sz w:val="16"/>
                <w:szCs w:val="14"/>
              </w:rPr>
              <w:t>5950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32B4E7B6" w14:textId="64C95694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0.90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center"/>
          </w:tcPr>
          <w:p w14:paraId="6129FEF7" w14:textId="56C151F9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  <w:highlight w:val="magenta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&lt;0.001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73F5F" w14:textId="6EC2EA36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6D9BB" w14:textId="77777777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235.13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BB9F2" w14:textId="7BDC1C6B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  <w:highlight w:val="magenta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&lt;0.001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938AE" w14:textId="77777777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034CB" w14:textId="6C5FA7FE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2.94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61175" w14:textId="77777777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51.56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89ACF" w14:textId="1E7D3734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  <w:highlight w:val="magenta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&lt;0.001</w:t>
            </w:r>
          </w:p>
        </w:tc>
      </w:tr>
      <w:tr w:rsidR="00F12CA8" w:rsidRPr="002B573A" w14:paraId="1A6CCDDD" w14:textId="77777777" w:rsidTr="007B538D">
        <w:tc>
          <w:tcPr>
            <w:tcW w:w="73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A0E5A3D" w14:textId="77777777" w:rsidR="00F12CA8" w:rsidRPr="002B573A" w:rsidRDefault="00F12CA8" w:rsidP="00AD3FCE">
            <w:pPr>
              <w:spacing w:after="140" w:line="240" w:lineRule="auto"/>
              <w:ind w:firstLine="0"/>
              <w:jc w:val="left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BCI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vAlign w:val="center"/>
          </w:tcPr>
          <w:p w14:paraId="43A8B758" w14:textId="77777777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25.91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A8E7500" w14:textId="77777777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25.75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62B462A" w14:textId="77777777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-1.03*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2F5F79" w14:textId="14D02BC4" w:rsidR="00F12CA8" w:rsidRPr="007B538D" w:rsidRDefault="00F12CA8" w:rsidP="00F12CA8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  <w:vertAlign w:val="superscript"/>
              </w:rPr>
            </w:pPr>
            <w:r w:rsidRPr="007B538D">
              <w:rPr>
                <w:rFonts w:ascii="Helvetica" w:hAnsi="Helvetica" w:cs="Times New Roman"/>
                <w:sz w:val="16"/>
                <w:szCs w:val="14"/>
              </w:rPr>
              <w:t>5.33 10</w:t>
            </w:r>
            <w:r w:rsidRPr="007B538D">
              <w:rPr>
                <w:rFonts w:ascii="Helvetica" w:hAnsi="Helvetica" w:cs="Times New Roman"/>
                <w:sz w:val="16"/>
                <w:szCs w:val="14"/>
                <w:vertAlign w:val="superscript"/>
              </w:rPr>
              <w:t>4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84137B" w14:textId="67A77D00" w:rsidR="00F12CA8" w:rsidRPr="007B538D" w:rsidRDefault="007B538D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7B538D">
              <w:rPr>
                <w:rFonts w:ascii="Helvetica" w:hAnsi="Helvetica" w:cs="Times New Roman"/>
                <w:sz w:val="16"/>
                <w:szCs w:val="14"/>
              </w:rPr>
              <w:t>1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6EE0A97D" w14:textId="13257AE4" w:rsidR="00F12CA8" w:rsidRPr="002B573A" w:rsidRDefault="007B538D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>
              <w:rPr>
                <w:rFonts w:ascii="Helvetica" w:hAnsi="Helvetica" w:cs="Times New Roman"/>
                <w:sz w:val="16"/>
                <w:szCs w:val="14"/>
              </w:rPr>
              <w:t>6046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56E70DC" w14:textId="1D76BA95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0.90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8EC81D6" w14:textId="334B79FB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  <w:highlight w:val="magenta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&lt;0.001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3DC761" w14:textId="46A0146D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0.83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16CFDF" w14:textId="77777777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230.8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316C9C" w14:textId="65A14BFB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  <w:highlight w:val="magenta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&lt;0.001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208B45" w14:textId="77777777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B8D70" w14:textId="2CBC9EC8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4.41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BDE472" w14:textId="77777777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47.3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F1AC53" w14:textId="678D986C" w:rsidR="00F12CA8" w:rsidRPr="002B573A" w:rsidRDefault="00F12CA8" w:rsidP="00D52090">
            <w:pPr>
              <w:spacing w:after="140" w:line="240" w:lineRule="auto"/>
              <w:ind w:firstLine="0"/>
              <w:jc w:val="center"/>
              <w:rPr>
                <w:rFonts w:ascii="Helvetica" w:hAnsi="Helvetica" w:cs="Times New Roman"/>
                <w:sz w:val="16"/>
                <w:szCs w:val="14"/>
                <w:highlight w:val="magenta"/>
              </w:rPr>
            </w:pPr>
            <w:r w:rsidRPr="002B573A">
              <w:rPr>
                <w:rFonts w:ascii="Helvetica" w:hAnsi="Helvetica" w:cs="Times New Roman"/>
                <w:sz w:val="16"/>
                <w:szCs w:val="14"/>
              </w:rPr>
              <w:t>&lt;0.001</w:t>
            </w:r>
          </w:p>
        </w:tc>
      </w:tr>
    </w:tbl>
    <w:p w14:paraId="0D7266F1" w14:textId="39ED4D7A" w:rsidR="00870C3C" w:rsidRPr="002B573A" w:rsidRDefault="00E3592A" w:rsidP="00870C3C">
      <w:pPr>
        <w:spacing w:after="160" w:line="240" w:lineRule="auto"/>
        <w:ind w:firstLine="0"/>
        <w:jc w:val="left"/>
        <w:rPr>
          <w:rFonts w:ascii="Helvetica" w:hAnsi="Helvetica" w:cs="Times New Roman"/>
          <w:sz w:val="16"/>
          <w:szCs w:val="16"/>
        </w:rPr>
      </w:pPr>
      <w:r w:rsidRPr="002B573A">
        <w:rPr>
          <w:rFonts w:ascii="Helvetica" w:hAnsi="Helvetica" w:cs="Times New Roman"/>
          <w:sz w:val="16"/>
          <w:szCs w:val="16"/>
        </w:rPr>
        <w:t>*significantly different, based on paired t-test.</w:t>
      </w:r>
    </w:p>
    <w:p w14:paraId="61C340A1" w14:textId="2F03E12A" w:rsidR="00870C3C" w:rsidRPr="00EA43CA" w:rsidRDefault="00870C3C" w:rsidP="00665A42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870C3C" w:rsidRPr="00EA43CA" w:rsidSect="005576C6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745C2" w14:textId="77777777" w:rsidR="00694E80" w:rsidRDefault="00694E80" w:rsidP="00143080">
      <w:pPr>
        <w:spacing w:after="0" w:line="240" w:lineRule="auto"/>
      </w:pPr>
      <w:r>
        <w:separator/>
      </w:r>
    </w:p>
  </w:endnote>
  <w:endnote w:type="continuationSeparator" w:id="0">
    <w:p w14:paraId="7AD698DA" w14:textId="77777777" w:rsidR="00694E80" w:rsidRDefault="00694E80" w:rsidP="001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23F2B" w14:textId="77777777" w:rsidR="00AB67FD" w:rsidRDefault="00AB67FD" w:rsidP="00F966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7A3EA6" w14:textId="77777777" w:rsidR="00AB67FD" w:rsidRDefault="00AB67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A352D" w14:textId="77777777" w:rsidR="00AB67FD" w:rsidRDefault="00AB67FD" w:rsidP="00D239B1">
    <w:pPr>
      <w:pBdr>
        <w:bottom w:val="single" w:sz="12" w:space="1" w:color="auto"/>
      </w:pBdr>
      <w:spacing w:after="140" w:line="240" w:lineRule="auto"/>
      <w:ind w:firstLine="0"/>
      <w:jc w:val="left"/>
      <w:rPr>
        <w:rFonts w:ascii="Times New Roman" w:hAnsi="Times New Roman" w:cs="Times New Roman"/>
        <w:b/>
        <w:sz w:val="20"/>
        <w:szCs w:val="24"/>
      </w:rPr>
    </w:pPr>
  </w:p>
  <w:p w14:paraId="561AE712" w14:textId="4D57E287" w:rsidR="00AB67FD" w:rsidRDefault="00AB67FD" w:rsidP="00D239B1">
    <w:pPr>
      <w:spacing w:after="140" w:line="240" w:lineRule="auto"/>
      <w:ind w:firstLine="0"/>
      <w:jc w:val="left"/>
      <w:rPr>
        <w:rFonts w:ascii="Times New Roman" w:hAnsi="Times New Roman" w:cs="Times New Roman"/>
        <w:b/>
        <w:sz w:val="20"/>
        <w:szCs w:val="24"/>
      </w:rPr>
    </w:pPr>
    <w:r w:rsidRPr="004B5A8C">
      <w:rPr>
        <w:rFonts w:ascii="Times New Roman" w:hAnsi="Times New Roman" w:cs="Times New Roman"/>
        <w:b/>
        <w:sz w:val="20"/>
        <w:szCs w:val="24"/>
      </w:rPr>
      <w:t>Tree circumference dynamics over short time scales using automated dendrometer bands in four forests</w:t>
    </w:r>
  </w:p>
  <w:p w14:paraId="55CBB562" w14:textId="77777777" w:rsidR="00AB67FD" w:rsidRPr="00C75C36" w:rsidRDefault="00AB67FD" w:rsidP="00956422">
    <w:pPr>
      <w:pStyle w:val="Footer"/>
      <w:framePr w:wrap="around" w:vAnchor="text" w:hAnchor="page" w:x="5761" w:y="601"/>
      <w:jc w:val="center"/>
      <w:rPr>
        <w:rStyle w:val="PageNumber"/>
        <w:rFonts w:ascii="Times New Roman" w:hAnsi="Times New Roman" w:cs="Times New Roman"/>
        <w:sz w:val="24"/>
        <w:szCs w:val="24"/>
      </w:rPr>
    </w:pPr>
    <w:r w:rsidRPr="00C75C36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C75C36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C75C36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4C5D68"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 w:rsidRPr="00C75C36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14:paraId="6BBBDA58" w14:textId="31A1775B" w:rsidR="00AB67FD" w:rsidRPr="00FC1D41" w:rsidRDefault="00AB67FD" w:rsidP="00FC1D41">
    <w:pPr>
      <w:spacing w:after="140" w:line="240" w:lineRule="auto"/>
      <w:ind w:firstLine="0"/>
      <w:jc w:val="left"/>
      <w:rPr>
        <w:rFonts w:ascii="Times New Roman" w:hAnsi="Times New Roman" w:cs="Times New Roman"/>
        <w:b/>
        <w:sz w:val="20"/>
        <w:szCs w:val="24"/>
      </w:rPr>
    </w:pPr>
    <w:r w:rsidRPr="004B5A8C">
      <w:rPr>
        <w:rFonts w:ascii="Times New Roman" w:hAnsi="Times New Roman" w:cs="Times New Roman"/>
        <w:sz w:val="20"/>
        <w:szCs w:val="24"/>
      </w:rPr>
      <w:t>Valentine Herrmann, Sean M. McMahon, Matteo Detto, James A. Lutz, Stuart J. Davies, Chia-Hao Chang-Yang,</w:t>
    </w:r>
    <w:r w:rsidRPr="004B5A8C">
      <w:rPr>
        <w:rFonts w:ascii="Times New Roman" w:hAnsi="Times New Roman" w:cs="Times New Roman"/>
        <w:sz w:val="20"/>
        <w:szCs w:val="24"/>
        <w:vertAlign w:val="superscript"/>
      </w:rPr>
      <w:t xml:space="preserve"> </w:t>
    </w:r>
    <w:r w:rsidRPr="004B5A8C">
      <w:rPr>
        <w:rFonts w:ascii="Times New Roman" w:hAnsi="Times New Roman" w:cs="Times New Roman"/>
        <w:sz w:val="20"/>
        <w:szCs w:val="24"/>
      </w:rPr>
      <w:t>Kristina J. Anderson-Teixeira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A535C" w14:textId="7758A596" w:rsidR="00AB67FD" w:rsidRDefault="00AB67FD" w:rsidP="004B5A8C">
    <w:pPr>
      <w:pBdr>
        <w:bottom w:val="single" w:sz="12" w:space="1" w:color="auto"/>
      </w:pBdr>
      <w:spacing w:after="140" w:line="240" w:lineRule="auto"/>
      <w:ind w:firstLine="0"/>
      <w:jc w:val="left"/>
      <w:rPr>
        <w:rFonts w:ascii="Times New Roman" w:hAnsi="Times New Roman" w:cs="Times New Roman"/>
        <w:b/>
        <w:sz w:val="20"/>
        <w:szCs w:val="24"/>
      </w:rPr>
    </w:pPr>
  </w:p>
  <w:p w14:paraId="1DA9CD75" w14:textId="585CB355" w:rsidR="00AB67FD" w:rsidRDefault="00AB67FD" w:rsidP="004B5A8C">
    <w:pPr>
      <w:spacing w:after="140" w:line="240" w:lineRule="auto"/>
      <w:ind w:firstLine="0"/>
      <w:jc w:val="left"/>
      <w:rPr>
        <w:rFonts w:ascii="Times New Roman" w:hAnsi="Times New Roman" w:cs="Times New Roman"/>
        <w:b/>
        <w:sz w:val="20"/>
        <w:szCs w:val="24"/>
      </w:rPr>
    </w:pPr>
    <w:r w:rsidRPr="004B5A8C">
      <w:rPr>
        <w:rFonts w:ascii="Times New Roman" w:hAnsi="Times New Roman" w:cs="Times New Roman"/>
        <w:b/>
        <w:sz w:val="20"/>
        <w:szCs w:val="24"/>
      </w:rPr>
      <w:t>Tree circumference dynamics over short time scales using automated dendrometer bands in four forests</w:t>
    </w:r>
  </w:p>
  <w:p w14:paraId="1B924415" w14:textId="163BC53E" w:rsidR="00AB67FD" w:rsidRPr="004B5A8C" w:rsidRDefault="00AB67FD" w:rsidP="004B5A8C">
    <w:pPr>
      <w:spacing w:after="140" w:line="240" w:lineRule="auto"/>
      <w:ind w:firstLine="0"/>
      <w:jc w:val="left"/>
      <w:rPr>
        <w:rFonts w:ascii="Times New Roman" w:hAnsi="Times New Roman" w:cs="Times New Roman"/>
        <w:b/>
        <w:sz w:val="20"/>
        <w:szCs w:val="24"/>
      </w:rPr>
    </w:pPr>
    <w:r w:rsidRPr="004B5A8C">
      <w:rPr>
        <w:rFonts w:ascii="Times New Roman" w:hAnsi="Times New Roman" w:cs="Times New Roman"/>
        <w:sz w:val="20"/>
        <w:szCs w:val="24"/>
      </w:rPr>
      <w:t>Valentine Herrmann, Sean M. McMahon, Matteo Detto, James A. Lutz, Stuart J. Davies, Chia-Hao Chang-Yang,</w:t>
    </w:r>
    <w:r w:rsidRPr="004B5A8C">
      <w:rPr>
        <w:rFonts w:ascii="Times New Roman" w:hAnsi="Times New Roman" w:cs="Times New Roman"/>
        <w:sz w:val="20"/>
        <w:szCs w:val="24"/>
        <w:vertAlign w:val="superscript"/>
      </w:rPr>
      <w:t xml:space="preserve"> </w:t>
    </w:r>
    <w:r w:rsidRPr="004B5A8C">
      <w:rPr>
        <w:rFonts w:ascii="Times New Roman" w:hAnsi="Times New Roman" w:cs="Times New Roman"/>
        <w:sz w:val="20"/>
        <w:szCs w:val="24"/>
      </w:rPr>
      <w:t>Kristina J. Anderson-Teixeira</w:t>
    </w:r>
  </w:p>
  <w:p w14:paraId="672B3DC0" w14:textId="77777777" w:rsidR="00AB67FD" w:rsidRDefault="00AB6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5367D" w14:textId="77777777" w:rsidR="00694E80" w:rsidRDefault="00694E80" w:rsidP="00143080">
      <w:pPr>
        <w:spacing w:after="0" w:line="240" w:lineRule="auto"/>
      </w:pPr>
      <w:r>
        <w:separator/>
      </w:r>
    </w:p>
  </w:footnote>
  <w:footnote w:type="continuationSeparator" w:id="0">
    <w:p w14:paraId="05D21C87" w14:textId="77777777" w:rsidR="00694E80" w:rsidRDefault="00694E80" w:rsidP="00143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24DBA"/>
    <w:multiLevelType w:val="hybridMultilevel"/>
    <w:tmpl w:val="6018F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F17F8"/>
    <w:multiLevelType w:val="hybridMultilevel"/>
    <w:tmpl w:val="8D3EFBB6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36"/>
    <w:rsid w:val="00004AC8"/>
    <w:rsid w:val="00022815"/>
    <w:rsid w:val="00025CE2"/>
    <w:rsid w:val="00031711"/>
    <w:rsid w:val="000612BA"/>
    <w:rsid w:val="00070673"/>
    <w:rsid w:val="00073191"/>
    <w:rsid w:val="00084F12"/>
    <w:rsid w:val="000C6639"/>
    <w:rsid w:val="000D4693"/>
    <w:rsid w:val="000E1454"/>
    <w:rsid w:val="00106651"/>
    <w:rsid w:val="00143080"/>
    <w:rsid w:val="0019590C"/>
    <w:rsid w:val="001C47A2"/>
    <w:rsid w:val="001D4DD1"/>
    <w:rsid w:val="001E10F1"/>
    <w:rsid w:val="001E6000"/>
    <w:rsid w:val="001E6450"/>
    <w:rsid w:val="001F7997"/>
    <w:rsid w:val="002437F1"/>
    <w:rsid w:val="00253081"/>
    <w:rsid w:val="00282DD6"/>
    <w:rsid w:val="002B49F5"/>
    <w:rsid w:val="002B573A"/>
    <w:rsid w:val="002C3763"/>
    <w:rsid w:val="003135DB"/>
    <w:rsid w:val="00324C0B"/>
    <w:rsid w:val="0035277B"/>
    <w:rsid w:val="00363961"/>
    <w:rsid w:val="00367A91"/>
    <w:rsid w:val="00370F3E"/>
    <w:rsid w:val="00406BF5"/>
    <w:rsid w:val="00454BD6"/>
    <w:rsid w:val="00462799"/>
    <w:rsid w:val="00463A74"/>
    <w:rsid w:val="004656C8"/>
    <w:rsid w:val="004959DF"/>
    <w:rsid w:val="004B45F6"/>
    <w:rsid w:val="004B4B33"/>
    <w:rsid w:val="004B5A8C"/>
    <w:rsid w:val="004C5D68"/>
    <w:rsid w:val="005124DE"/>
    <w:rsid w:val="00512DDF"/>
    <w:rsid w:val="0053129A"/>
    <w:rsid w:val="00535D56"/>
    <w:rsid w:val="00546B99"/>
    <w:rsid w:val="005576C6"/>
    <w:rsid w:val="00573CF5"/>
    <w:rsid w:val="00574B8B"/>
    <w:rsid w:val="0058775D"/>
    <w:rsid w:val="005912F5"/>
    <w:rsid w:val="005A33AA"/>
    <w:rsid w:val="005C4069"/>
    <w:rsid w:val="005C7107"/>
    <w:rsid w:val="005D0A78"/>
    <w:rsid w:val="005D38C2"/>
    <w:rsid w:val="005E53FE"/>
    <w:rsid w:val="005F04EB"/>
    <w:rsid w:val="005F4341"/>
    <w:rsid w:val="005F47D7"/>
    <w:rsid w:val="00665A42"/>
    <w:rsid w:val="00694E80"/>
    <w:rsid w:val="006C0534"/>
    <w:rsid w:val="006F119F"/>
    <w:rsid w:val="00711AAE"/>
    <w:rsid w:val="0072035A"/>
    <w:rsid w:val="00745A88"/>
    <w:rsid w:val="00751509"/>
    <w:rsid w:val="00756FEF"/>
    <w:rsid w:val="007A21A9"/>
    <w:rsid w:val="007B538D"/>
    <w:rsid w:val="007C1941"/>
    <w:rsid w:val="007F01FA"/>
    <w:rsid w:val="008110A9"/>
    <w:rsid w:val="0081450F"/>
    <w:rsid w:val="00840355"/>
    <w:rsid w:val="008513CC"/>
    <w:rsid w:val="00870C3C"/>
    <w:rsid w:val="00883436"/>
    <w:rsid w:val="00893E98"/>
    <w:rsid w:val="008B6E4C"/>
    <w:rsid w:val="008C0B52"/>
    <w:rsid w:val="008E6EF8"/>
    <w:rsid w:val="00956422"/>
    <w:rsid w:val="00982E18"/>
    <w:rsid w:val="0098388D"/>
    <w:rsid w:val="00986A7E"/>
    <w:rsid w:val="00994CB1"/>
    <w:rsid w:val="009A1D93"/>
    <w:rsid w:val="009C38F8"/>
    <w:rsid w:val="009E15B3"/>
    <w:rsid w:val="00A302D7"/>
    <w:rsid w:val="00A32B39"/>
    <w:rsid w:val="00A33783"/>
    <w:rsid w:val="00A73F84"/>
    <w:rsid w:val="00A75DF3"/>
    <w:rsid w:val="00A84527"/>
    <w:rsid w:val="00A8589F"/>
    <w:rsid w:val="00AA64FE"/>
    <w:rsid w:val="00AB1A4D"/>
    <w:rsid w:val="00AB38CF"/>
    <w:rsid w:val="00AB67FD"/>
    <w:rsid w:val="00AD16A6"/>
    <w:rsid w:val="00AD3FCE"/>
    <w:rsid w:val="00AF61E5"/>
    <w:rsid w:val="00B0053C"/>
    <w:rsid w:val="00B3230D"/>
    <w:rsid w:val="00B55ABC"/>
    <w:rsid w:val="00B87236"/>
    <w:rsid w:val="00B90721"/>
    <w:rsid w:val="00B92FCF"/>
    <w:rsid w:val="00BA6B6D"/>
    <w:rsid w:val="00BC4DFF"/>
    <w:rsid w:val="00BF4516"/>
    <w:rsid w:val="00BF5324"/>
    <w:rsid w:val="00C055A5"/>
    <w:rsid w:val="00C222BA"/>
    <w:rsid w:val="00C419ED"/>
    <w:rsid w:val="00C55BB0"/>
    <w:rsid w:val="00C74043"/>
    <w:rsid w:val="00C75C36"/>
    <w:rsid w:val="00C92592"/>
    <w:rsid w:val="00CA328B"/>
    <w:rsid w:val="00CD04BC"/>
    <w:rsid w:val="00D06D2D"/>
    <w:rsid w:val="00D11912"/>
    <w:rsid w:val="00D17FA6"/>
    <w:rsid w:val="00D224F2"/>
    <w:rsid w:val="00D239B1"/>
    <w:rsid w:val="00D52090"/>
    <w:rsid w:val="00D84354"/>
    <w:rsid w:val="00DB5225"/>
    <w:rsid w:val="00DE21D2"/>
    <w:rsid w:val="00DE5100"/>
    <w:rsid w:val="00E01944"/>
    <w:rsid w:val="00E32375"/>
    <w:rsid w:val="00E3592A"/>
    <w:rsid w:val="00E71A0A"/>
    <w:rsid w:val="00E87078"/>
    <w:rsid w:val="00EA2248"/>
    <w:rsid w:val="00EA43CA"/>
    <w:rsid w:val="00EC04EB"/>
    <w:rsid w:val="00ED7B71"/>
    <w:rsid w:val="00EE1CB0"/>
    <w:rsid w:val="00F12CA8"/>
    <w:rsid w:val="00F234B9"/>
    <w:rsid w:val="00F32FAB"/>
    <w:rsid w:val="00F42E2E"/>
    <w:rsid w:val="00F47605"/>
    <w:rsid w:val="00F966D7"/>
    <w:rsid w:val="00FA2CF2"/>
    <w:rsid w:val="00FC1D41"/>
    <w:rsid w:val="00FD75FF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16BEB"/>
  <w15:docId w15:val="{B21C02AD-D92A-46EF-9ED5-0A7E5185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1A9"/>
    <w:pPr>
      <w:spacing w:after="240" w:line="480" w:lineRule="auto"/>
      <w:ind w:firstLine="360"/>
      <w:jc w:val="both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B38CF"/>
    <w:pPr>
      <w:spacing w:before="140" w:line="240" w:lineRule="auto"/>
      <w:ind w:firstLine="0"/>
      <w:jc w:val="left"/>
      <w:outlineLvl w:val="0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21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8CF"/>
    <w:rPr>
      <w:rFonts w:ascii="Times New Roman" w:eastAsiaTheme="majorEastAsia" w:hAnsi="Times New Roman" w:cs="Times New Roman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21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72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72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236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36"/>
    <w:rPr>
      <w:rFonts w:ascii="Segoe UI" w:eastAsiaTheme="minorEastAsia" w:hAnsi="Segoe UI" w:cs="Segoe UI"/>
      <w:sz w:val="18"/>
      <w:szCs w:val="18"/>
    </w:rPr>
  </w:style>
  <w:style w:type="paragraph" w:customStyle="1" w:styleId="FirstParagraph">
    <w:name w:val="First Paragraph"/>
    <w:basedOn w:val="BodyText"/>
    <w:next w:val="BodyText"/>
    <w:qFormat/>
    <w:rsid w:val="005D38C2"/>
    <w:pPr>
      <w:spacing w:before="180" w:after="180" w:line="240" w:lineRule="auto"/>
      <w:ind w:firstLine="0"/>
      <w:jc w:val="left"/>
    </w:pPr>
    <w:rPr>
      <w:rFonts w:eastAsiaTheme="minorHAnsi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8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8C2"/>
    <w:rPr>
      <w:rFonts w:eastAsiaTheme="minorEastAsia"/>
    </w:rPr>
  </w:style>
  <w:style w:type="table" w:customStyle="1" w:styleId="ListTable1Light1">
    <w:name w:val="List Table 1 Light1"/>
    <w:basedOn w:val="TableNormal"/>
    <w:uiPriority w:val="46"/>
    <w:rsid w:val="003135D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59"/>
    <w:rsid w:val="0008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90721"/>
    <w:pPr>
      <w:spacing w:after="200"/>
    </w:pPr>
    <w:rPr>
      <w:rFonts w:ascii="Cambria" w:hAnsi="Cambria"/>
      <w:b/>
      <w:iCs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6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693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2FA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32FAB"/>
    <w:pPr>
      <w:spacing w:after="0" w:line="240" w:lineRule="auto"/>
      <w:ind w:firstLine="360"/>
      <w:jc w:val="both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1F7997"/>
    <w:pPr>
      <w:spacing w:before="120" w:after="0"/>
      <w:jc w:val="left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F7997"/>
    <w:pPr>
      <w:spacing w:after="0"/>
      <w:ind w:left="220"/>
      <w:jc w:val="left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rsid w:val="001F7997"/>
    <w:pPr>
      <w:spacing w:after="0"/>
      <w:ind w:left="440"/>
      <w:jc w:val="left"/>
    </w:pPr>
  </w:style>
  <w:style w:type="paragraph" w:styleId="TOC4">
    <w:name w:val="toc 4"/>
    <w:basedOn w:val="Normal"/>
    <w:next w:val="Normal"/>
    <w:autoRedefine/>
    <w:uiPriority w:val="39"/>
    <w:unhideWhenUsed/>
    <w:rsid w:val="001F7997"/>
    <w:pPr>
      <w:spacing w:after="0"/>
      <w:ind w:left="660"/>
      <w:jc w:val="left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F7997"/>
    <w:pPr>
      <w:spacing w:after="0"/>
      <w:ind w:left="880"/>
      <w:jc w:val="left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F7997"/>
    <w:pPr>
      <w:spacing w:after="0"/>
      <w:ind w:left="1100"/>
      <w:jc w:val="left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F7997"/>
    <w:pPr>
      <w:spacing w:after="0"/>
      <w:ind w:left="1320"/>
      <w:jc w:val="left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F7997"/>
    <w:pPr>
      <w:spacing w:after="0"/>
      <w:ind w:left="1540"/>
      <w:jc w:val="left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F7997"/>
    <w:pPr>
      <w:spacing w:after="0"/>
      <w:ind w:left="1760"/>
      <w:jc w:val="left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3F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F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1430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80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143080"/>
  </w:style>
  <w:style w:type="paragraph" w:styleId="Header">
    <w:name w:val="header"/>
    <w:basedOn w:val="Normal"/>
    <w:link w:val="HeaderChar"/>
    <w:uiPriority w:val="99"/>
    <w:unhideWhenUsed/>
    <w:rsid w:val="00F966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6D7"/>
    <w:rPr>
      <w:rFonts w:eastAsiaTheme="minorEastAsia"/>
    </w:rPr>
  </w:style>
  <w:style w:type="paragraph" w:styleId="Bibliography">
    <w:name w:val="Bibliography"/>
    <w:basedOn w:val="Normal"/>
    <w:next w:val="Normal"/>
    <w:uiPriority w:val="37"/>
    <w:unhideWhenUsed/>
    <w:rsid w:val="0081450F"/>
    <w:pPr>
      <w:tabs>
        <w:tab w:val="left" w:pos="380"/>
      </w:tabs>
      <w:spacing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8F0B0-2136-47E3-B67C-46A27684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Smithsonian Institution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Herrmann, Valentine</dc:creator>
  <cp:keywords/>
  <dc:description/>
  <cp:lastModifiedBy>Herrmann, Valentine</cp:lastModifiedBy>
  <cp:revision>5</cp:revision>
  <dcterms:created xsi:type="dcterms:W3CDTF">2016-09-19T13:24:00Z</dcterms:created>
  <dcterms:modified xsi:type="dcterms:W3CDTF">2016-12-13T20:16:00Z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valentine.h@hotmail.fr@www.mendeley.com</vt:lpwstr>
  </property>
  <property fmtid="{D5CDD505-2E9C-101B-9397-08002B2CF9AE}" pid="4" name="Mendeley Citation Style_1">
    <vt:lpwstr>http://www.zotero.org/styles/plos-one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http://www.zotero.org/styles/forest-ecology-and-management</vt:lpwstr>
  </property>
  <property fmtid="{D5CDD505-2E9C-101B-9397-08002B2CF9AE}" pid="14" name="Mendeley Recent Style Name 4_1">
    <vt:lpwstr>Forest Ecology and Management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http://www.zotero.org/styles/oecologia</vt:lpwstr>
  </property>
  <property fmtid="{D5CDD505-2E9C-101B-9397-08002B2CF9AE}" pid="22" name="Mendeley Recent Style Name 8_1">
    <vt:lpwstr>Oecologia</vt:lpwstr>
  </property>
  <property fmtid="{D5CDD505-2E9C-101B-9397-08002B2CF9AE}" pid="23" name="Mendeley Recent Style Id 9_1">
    <vt:lpwstr>http://www.zotero.org/styles/plos-one</vt:lpwstr>
  </property>
  <property fmtid="{D5CDD505-2E9C-101B-9397-08002B2CF9AE}" pid="24" name="Mendeley Recent Style Name 9_1">
    <vt:lpwstr>PLOS ONE</vt:lpwstr>
  </property>
  <property fmtid="{D5CDD505-2E9C-101B-9397-08002B2CF9AE}" pid="25" name="ZOTERO_PREF_1">
    <vt:lpwstr>&lt;data data-version="3" zotero-version="4.0.29.5"&gt;&lt;session id="CTdn24Iu"/&gt;&lt;style id="http://www.zotero.org/styles/plos-one" hasBibliography="1" bibliographyStyleHasBeenSet="1"/&gt;&lt;prefs&gt;&lt;pref name="fieldType" value="Field"/&gt;&lt;pref name="storeReferences" value</vt:lpwstr>
  </property>
  <property fmtid="{D5CDD505-2E9C-101B-9397-08002B2CF9AE}" pid="26" name="ZOTERO_PREF_2">
    <vt:lpwstr>="true"/&gt;&lt;pref name="automaticJournalAbbreviations" value="true"/&gt;&lt;pref name="noteType" value=""/&gt;&lt;/prefs&gt;&lt;/data&gt;</vt:lpwstr>
  </property>
</Properties>
</file>